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A1" w:rsidRPr="0052285A" w:rsidRDefault="008874A1" w:rsidP="00E2302B">
      <w:pPr>
        <w:pStyle w:val="Heading1"/>
        <w:spacing w:before="0" w:after="0"/>
        <w:ind w:left="-540"/>
        <w:rPr>
          <w:color w:val="339CBA"/>
        </w:rPr>
      </w:pPr>
      <w:r w:rsidRPr="0052285A">
        <w:rPr>
          <w:color w:val="339CBA"/>
        </w:rPr>
        <w:t>Short-term funding</w:t>
      </w:r>
    </w:p>
    <w:tbl>
      <w:tblPr>
        <w:tblStyle w:val="TableGrid"/>
        <w:tblW w:w="15451" w:type="dxa"/>
        <w:tblInd w:w="-459" w:type="dxa"/>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Layout w:type="fixed"/>
        <w:tblCellMar>
          <w:top w:w="72" w:type="dxa"/>
          <w:left w:w="115" w:type="dxa"/>
          <w:bottom w:w="72" w:type="dxa"/>
          <w:right w:w="115" w:type="dxa"/>
        </w:tblCellMar>
        <w:tblLook w:val="04A0" w:firstRow="1" w:lastRow="0" w:firstColumn="1" w:lastColumn="0" w:noHBand="0" w:noVBand="1"/>
      </w:tblPr>
      <w:tblGrid>
        <w:gridCol w:w="1809"/>
        <w:gridCol w:w="4570"/>
        <w:gridCol w:w="4678"/>
        <w:gridCol w:w="4394"/>
      </w:tblGrid>
      <w:tr w:rsidR="00AF046F" w:rsidRPr="00AF046F" w:rsidTr="00DE4F19">
        <w:tc>
          <w:tcPr>
            <w:tcW w:w="1809" w:type="dxa"/>
            <w:tcBorders>
              <w:bottom w:val="single" w:sz="4" w:space="0" w:color="339CBA"/>
            </w:tcBorders>
            <w:shd w:val="clear" w:color="auto" w:fill="339CBA"/>
            <w:vAlign w:val="center"/>
          </w:tcPr>
          <w:p w:rsidR="008874A1" w:rsidRPr="00AF046F" w:rsidRDefault="008874A1" w:rsidP="00AF046F">
            <w:pPr>
              <w:pStyle w:val="SBWSCopy"/>
              <w:spacing w:before="60" w:after="0"/>
              <w:rPr>
                <w:color w:val="FFFFFF" w:themeColor="background1"/>
              </w:rPr>
            </w:pPr>
            <w:r w:rsidRPr="00AF046F">
              <w:rPr>
                <w:b/>
                <w:color w:val="FFFFFF" w:themeColor="background1"/>
              </w:rPr>
              <w:t>Debt Product</w:t>
            </w:r>
          </w:p>
        </w:tc>
        <w:tc>
          <w:tcPr>
            <w:tcW w:w="4570" w:type="dxa"/>
            <w:shd w:val="clear" w:color="auto" w:fill="339CBA"/>
            <w:vAlign w:val="center"/>
          </w:tcPr>
          <w:p w:rsidR="008874A1" w:rsidRPr="00AF046F" w:rsidRDefault="008874A1" w:rsidP="00DE4F19">
            <w:pPr>
              <w:pStyle w:val="SBWSCopy"/>
              <w:spacing w:after="0"/>
              <w:jc w:val="center"/>
              <w:rPr>
                <w:b/>
                <w:color w:val="FFFFFF" w:themeColor="background1"/>
              </w:rPr>
            </w:pPr>
            <w:r w:rsidRPr="00AF046F">
              <w:rPr>
                <w:b/>
                <w:color w:val="FFFFFF" w:themeColor="background1"/>
              </w:rPr>
              <w:t>Overdraft</w:t>
            </w:r>
          </w:p>
        </w:tc>
        <w:tc>
          <w:tcPr>
            <w:tcW w:w="4678" w:type="dxa"/>
            <w:shd w:val="clear" w:color="auto" w:fill="339CBA"/>
            <w:vAlign w:val="center"/>
          </w:tcPr>
          <w:p w:rsidR="008874A1" w:rsidRPr="00AF046F" w:rsidRDefault="008874A1" w:rsidP="00DE4F19">
            <w:pPr>
              <w:pStyle w:val="SBWSCopy"/>
              <w:spacing w:after="0"/>
              <w:jc w:val="center"/>
              <w:rPr>
                <w:b/>
                <w:color w:val="FFFFFF" w:themeColor="background1"/>
              </w:rPr>
            </w:pPr>
            <w:r w:rsidRPr="00AF046F">
              <w:rPr>
                <w:b/>
                <w:color w:val="FFFFFF" w:themeColor="background1"/>
              </w:rPr>
              <w:t>Line of Credit</w:t>
            </w:r>
          </w:p>
        </w:tc>
        <w:tc>
          <w:tcPr>
            <w:tcW w:w="4394" w:type="dxa"/>
            <w:shd w:val="clear" w:color="auto" w:fill="339CBA"/>
            <w:vAlign w:val="center"/>
          </w:tcPr>
          <w:p w:rsidR="008874A1" w:rsidRPr="00AF046F" w:rsidRDefault="008874A1" w:rsidP="00DE4F19">
            <w:pPr>
              <w:pStyle w:val="SBWSCopy"/>
              <w:spacing w:after="0"/>
              <w:jc w:val="center"/>
              <w:rPr>
                <w:color w:val="FFFFFF" w:themeColor="background1"/>
                <w:szCs w:val="18"/>
              </w:rPr>
            </w:pPr>
            <w:r w:rsidRPr="00AF046F">
              <w:rPr>
                <w:b/>
                <w:color w:val="FFFFFF" w:themeColor="background1"/>
              </w:rPr>
              <w:t>Credit Card</w:t>
            </w:r>
          </w:p>
        </w:tc>
      </w:tr>
      <w:tr w:rsidR="008874A1" w:rsidTr="00DE4F19">
        <w:tc>
          <w:tcPr>
            <w:tcW w:w="1809" w:type="dxa"/>
            <w:shd w:val="clear" w:color="auto" w:fill="D8EEF4"/>
            <w:vAlign w:val="center"/>
          </w:tcPr>
          <w:p w:rsidR="008874A1" w:rsidRPr="00AF046F" w:rsidRDefault="008874A1" w:rsidP="00AF046F">
            <w:pPr>
              <w:spacing w:before="60" w:after="0"/>
              <w:jc w:val="center"/>
              <w:rPr>
                <w:color w:val="FFFFFF" w:themeColor="background1"/>
              </w:rPr>
            </w:pPr>
            <w:r w:rsidRPr="007E1A2F">
              <w:rPr>
                <w:b/>
                <w:color w:val="339CBA"/>
              </w:rPr>
              <w:t>Purpose</w:t>
            </w:r>
          </w:p>
        </w:tc>
        <w:tc>
          <w:tcPr>
            <w:tcW w:w="4570" w:type="dxa"/>
            <w:shd w:val="clear" w:color="auto" w:fill="auto"/>
          </w:tcPr>
          <w:p w:rsidR="008874A1" w:rsidRPr="00494A2C" w:rsidRDefault="008874A1" w:rsidP="00AF046F">
            <w:pPr>
              <w:pStyle w:val="SBWSCopy"/>
              <w:spacing w:before="60" w:after="0"/>
              <w:jc w:val="left"/>
            </w:pPr>
            <w:r w:rsidRPr="00820F20">
              <w:t xml:space="preserve">Overdraft facilities are generally used to finance the day-to-day fluctuating cash </w:t>
            </w:r>
            <w:r>
              <w:t>need</w:t>
            </w:r>
            <w:r w:rsidRPr="00820F20">
              <w:t>s of a business.</w:t>
            </w:r>
          </w:p>
        </w:tc>
        <w:tc>
          <w:tcPr>
            <w:tcW w:w="4678" w:type="dxa"/>
            <w:shd w:val="clear" w:color="auto" w:fill="auto"/>
          </w:tcPr>
          <w:p w:rsidR="008874A1" w:rsidRDefault="008874A1" w:rsidP="00AF046F">
            <w:pPr>
              <w:pStyle w:val="SBWSCopy"/>
              <w:spacing w:before="60" w:after="0"/>
              <w:jc w:val="left"/>
            </w:pPr>
            <w:r w:rsidRPr="00820F20">
              <w:t xml:space="preserve">A line of credit is usually used to access funds </w:t>
            </w:r>
            <w:r>
              <w:t>for</w:t>
            </w:r>
            <w:r w:rsidRPr="00820F20">
              <w:t xml:space="preserve"> working capital requirements</w:t>
            </w:r>
            <w:r>
              <w:t xml:space="preserve"> such as stock purchases.</w:t>
            </w:r>
          </w:p>
        </w:tc>
        <w:tc>
          <w:tcPr>
            <w:tcW w:w="4394" w:type="dxa"/>
            <w:shd w:val="clear" w:color="auto" w:fill="auto"/>
          </w:tcPr>
          <w:p w:rsidR="008874A1" w:rsidRDefault="008874A1" w:rsidP="00AF046F">
            <w:pPr>
              <w:pStyle w:val="SBWSCopy"/>
              <w:spacing w:before="60" w:after="0"/>
              <w:jc w:val="left"/>
            </w:pPr>
            <w:r w:rsidRPr="00494A2C">
              <w:t>Credit cards should be used only to fund short-term working capital requirements</w:t>
            </w:r>
            <w:r>
              <w:t xml:space="preserve"> and small purchases such as meals or taxis.</w:t>
            </w:r>
          </w:p>
        </w:tc>
      </w:tr>
      <w:tr w:rsidR="008874A1" w:rsidTr="00DE4F19">
        <w:tc>
          <w:tcPr>
            <w:tcW w:w="1809" w:type="dxa"/>
            <w:shd w:val="clear" w:color="auto" w:fill="D8EEF4"/>
            <w:vAlign w:val="center"/>
          </w:tcPr>
          <w:p w:rsidR="008874A1" w:rsidRPr="007E1A2F" w:rsidRDefault="008874A1" w:rsidP="00AF046F">
            <w:pPr>
              <w:spacing w:before="60" w:after="0"/>
              <w:jc w:val="center"/>
              <w:rPr>
                <w:color w:val="339CBA"/>
              </w:rPr>
            </w:pPr>
            <w:r w:rsidRPr="007E1A2F">
              <w:rPr>
                <w:b/>
                <w:color w:val="339CBA"/>
              </w:rPr>
              <w:t>Description</w:t>
            </w:r>
          </w:p>
        </w:tc>
        <w:tc>
          <w:tcPr>
            <w:tcW w:w="4570" w:type="dxa"/>
            <w:shd w:val="clear" w:color="auto" w:fill="auto"/>
          </w:tcPr>
          <w:p w:rsidR="008874A1" w:rsidRPr="00DB0295" w:rsidRDefault="008874A1" w:rsidP="00AF046F">
            <w:pPr>
              <w:pStyle w:val="SBWSCopy"/>
              <w:spacing w:before="60" w:after="0"/>
              <w:jc w:val="left"/>
            </w:pPr>
            <w:r w:rsidRPr="00DB0295">
              <w:t>A facility that allows the customer to operate a bank account with a pre-agreed limit which can be drawn down.</w:t>
            </w:r>
          </w:p>
          <w:p w:rsidR="008874A1" w:rsidRPr="00494A2C" w:rsidRDefault="008874A1" w:rsidP="00AF046F">
            <w:pPr>
              <w:spacing w:before="60" w:after="0"/>
              <w:rPr>
                <w:rFonts w:eastAsia="Calibri" w:cs="Arial"/>
                <w:szCs w:val="20"/>
              </w:rPr>
            </w:pPr>
            <w:r w:rsidRPr="00494A2C">
              <w:rPr>
                <w:rFonts w:eastAsia="Calibri" w:cs="Arial"/>
                <w:szCs w:val="20"/>
              </w:rPr>
              <w:t>Overdraft accounts will usually only be provided to a business that has been successfully trading for a few years.</w:t>
            </w:r>
          </w:p>
        </w:tc>
        <w:tc>
          <w:tcPr>
            <w:tcW w:w="4678" w:type="dxa"/>
            <w:shd w:val="clear" w:color="auto" w:fill="auto"/>
          </w:tcPr>
          <w:p w:rsidR="008874A1" w:rsidRPr="00494A2C" w:rsidRDefault="008874A1" w:rsidP="00AF046F">
            <w:pPr>
              <w:pStyle w:val="SBWSCopy"/>
              <w:spacing w:before="60" w:after="0"/>
              <w:jc w:val="left"/>
            </w:pPr>
            <w:r w:rsidRPr="00494A2C">
              <w:t>A line of credit can provide access to funds by allowing the borrower to draw on an account balance up to an approved limit. As long as the balance does not exceed the approved limit, funds can be drawn at any time.</w:t>
            </w:r>
          </w:p>
          <w:p w:rsidR="008874A1" w:rsidRPr="00494A2C" w:rsidRDefault="008874A1" w:rsidP="00AF046F">
            <w:pPr>
              <w:spacing w:before="60" w:after="0"/>
              <w:rPr>
                <w:rFonts w:eastAsia="Calibri" w:cs="Arial"/>
                <w:szCs w:val="20"/>
              </w:rPr>
            </w:pPr>
            <w:r w:rsidRPr="00494A2C">
              <w:rPr>
                <w:rFonts w:eastAsia="Calibri" w:cs="Arial"/>
                <w:szCs w:val="20"/>
              </w:rPr>
              <w:t>These loans are usually secured by a registered mortgage over a property</w:t>
            </w:r>
            <w:r>
              <w:rPr>
                <w:rFonts w:eastAsia="Calibri" w:cs="Arial"/>
                <w:szCs w:val="20"/>
              </w:rPr>
              <w:t xml:space="preserve"> and personal guarantees.</w:t>
            </w:r>
          </w:p>
        </w:tc>
        <w:tc>
          <w:tcPr>
            <w:tcW w:w="4394" w:type="dxa"/>
            <w:shd w:val="clear" w:color="auto" w:fill="auto"/>
          </w:tcPr>
          <w:p w:rsidR="008874A1" w:rsidRPr="00494A2C" w:rsidRDefault="008874A1" w:rsidP="00AF046F">
            <w:pPr>
              <w:pStyle w:val="SBWSCopy"/>
              <w:spacing w:before="60" w:after="0"/>
              <w:jc w:val="left"/>
            </w:pPr>
            <w:r w:rsidRPr="00494A2C">
              <w:t>Credit cards are usually offered with “interest-free days” and are generally easier to obtain due to the high fee structure and interest rates charged.</w:t>
            </w:r>
          </w:p>
          <w:p w:rsidR="008874A1" w:rsidRPr="00494A2C" w:rsidRDefault="008874A1" w:rsidP="00AF046F">
            <w:pPr>
              <w:pStyle w:val="SBWSCopy"/>
              <w:spacing w:before="60" w:after="0"/>
              <w:jc w:val="left"/>
            </w:pPr>
            <w:r>
              <w:t xml:space="preserve">You will save your business money if </w:t>
            </w:r>
            <w:r w:rsidRPr="00494A2C">
              <w:t xml:space="preserve">you pay off your balance in full each month and avoid cash advances. </w:t>
            </w:r>
          </w:p>
        </w:tc>
      </w:tr>
      <w:tr w:rsidR="008874A1" w:rsidTr="00DE4F19">
        <w:tc>
          <w:tcPr>
            <w:tcW w:w="1809" w:type="dxa"/>
            <w:shd w:val="clear" w:color="auto" w:fill="D8EEF4"/>
            <w:vAlign w:val="center"/>
          </w:tcPr>
          <w:p w:rsidR="008874A1" w:rsidRPr="007E1A2F" w:rsidRDefault="008874A1" w:rsidP="00AF046F">
            <w:pPr>
              <w:spacing w:before="60" w:after="0"/>
              <w:jc w:val="center"/>
              <w:rPr>
                <w:color w:val="339CBA"/>
              </w:rPr>
            </w:pPr>
            <w:r w:rsidRPr="007E1A2F">
              <w:rPr>
                <w:b/>
                <w:color w:val="339CBA"/>
              </w:rPr>
              <w:t>Repayment / Interest</w:t>
            </w:r>
          </w:p>
        </w:tc>
        <w:tc>
          <w:tcPr>
            <w:tcW w:w="4570" w:type="dxa"/>
            <w:shd w:val="clear" w:color="auto" w:fill="auto"/>
          </w:tcPr>
          <w:p w:rsidR="008874A1" w:rsidRPr="00DB0295" w:rsidRDefault="008874A1" w:rsidP="00AF046F">
            <w:pPr>
              <w:pStyle w:val="SBWSCopy"/>
              <w:spacing w:before="60" w:after="0"/>
              <w:jc w:val="left"/>
            </w:pPr>
            <w:r w:rsidRPr="00DB0295">
              <w:t xml:space="preserve">Overdraft facilities do not have a specific maturity date.  The product is </w:t>
            </w:r>
            <w:r>
              <w:t>“</w:t>
            </w:r>
            <w:r w:rsidRPr="00DB0295">
              <w:t>at call</w:t>
            </w:r>
            <w:r>
              <w:t>”</w:t>
            </w:r>
            <w:r w:rsidRPr="00DB0295">
              <w:t xml:space="preserve"> or on demand, which means that the bank has the right to cancel the facility at any time.  </w:t>
            </w:r>
          </w:p>
          <w:p w:rsidR="008874A1" w:rsidRPr="00494A2C" w:rsidRDefault="008874A1" w:rsidP="00AF046F">
            <w:pPr>
              <w:pStyle w:val="SBWSCopy"/>
              <w:spacing w:before="60" w:after="0"/>
              <w:jc w:val="left"/>
            </w:pPr>
            <w:r w:rsidRPr="00DB0295">
              <w:t>Interest is usually paid on a monthly basis. The rate of interest is determined in accordance with a risk margin that the bank will determine.  The customer will only pay interest on the amount of the facility drawn down.</w:t>
            </w:r>
          </w:p>
        </w:tc>
        <w:tc>
          <w:tcPr>
            <w:tcW w:w="4678" w:type="dxa"/>
            <w:shd w:val="clear" w:color="auto" w:fill="auto"/>
          </w:tcPr>
          <w:p w:rsidR="008874A1" w:rsidRPr="00DB0295" w:rsidRDefault="008874A1" w:rsidP="00AF046F">
            <w:pPr>
              <w:pStyle w:val="SBWSCopy"/>
              <w:spacing w:before="60" w:after="0"/>
              <w:jc w:val="left"/>
            </w:pPr>
            <w:r w:rsidRPr="00DB0295">
              <w:t>Repayments are usually required to at least cover the interest and fees on the loan.</w:t>
            </w:r>
          </w:p>
          <w:p w:rsidR="008874A1" w:rsidRPr="00494A2C" w:rsidRDefault="008874A1" w:rsidP="00AF046F">
            <w:pPr>
              <w:spacing w:before="60" w:after="0"/>
              <w:rPr>
                <w:rFonts w:eastAsia="Calibri" w:cs="Arial"/>
                <w:szCs w:val="20"/>
              </w:rPr>
            </w:pPr>
            <w:r w:rsidRPr="00494A2C">
              <w:rPr>
                <w:rFonts w:eastAsia="Calibri" w:cs="Arial"/>
                <w:szCs w:val="20"/>
              </w:rPr>
              <w:t>Interest is usually paid on a monthly basis.  As this type of loan is usually secured against property, interest rates tend to be lower than for overdrafts. However, if you fail to make your payments, you can put your property at risk.</w:t>
            </w:r>
          </w:p>
        </w:tc>
        <w:tc>
          <w:tcPr>
            <w:tcW w:w="4394" w:type="dxa"/>
            <w:shd w:val="clear" w:color="auto" w:fill="auto"/>
          </w:tcPr>
          <w:p w:rsidR="008874A1" w:rsidRPr="00494A2C" w:rsidRDefault="008874A1" w:rsidP="00AF046F">
            <w:pPr>
              <w:pStyle w:val="SBWSCopy"/>
              <w:spacing w:before="60" w:after="0"/>
              <w:jc w:val="left"/>
            </w:pPr>
            <w:r w:rsidRPr="00494A2C">
              <w:t>Credit cards usually have an expiry date, which indicates that, unless the facility is renewed, all outstanding amounts will be due by this date.</w:t>
            </w:r>
          </w:p>
          <w:p w:rsidR="008874A1" w:rsidRPr="00494A2C" w:rsidRDefault="008874A1" w:rsidP="00AF046F">
            <w:pPr>
              <w:pStyle w:val="SBWSCopy"/>
              <w:spacing w:before="60" w:after="0"/>
              <w:jc w:val="left"/>
            </w:pPr>
            <w:r w:rsidRPr="00494A2C">
              <w:t xml:space="preserve">Interest is generally either charged from the date of purchase of items or from the date your monthly statement is issued. </w:t>
            </w:r>
          </w:p>
          <w:p w:rsidR="008874A1" w:rsidRPr="00494A2C" w:rsidRDefault="008874A1" w:rsidP="00AF046F">
            <w:pPr>
              <w:spacing w:before="60" w:after="0"/>
              <w:rPr>
                <w:rFonts w:eastAsia="Calibri" w:cs="Arial"/>
                <w:szCs w:val="20"/>
              </w:rPr>
            </w:pPr>
            <w:r w:rsidRPr="00494A2C">
              <w:rPr>
                <w:rFonts w:eastAsia="Calibri" w:cs="Arial"/>
                <w:szCs w:val="20"/>
              </w:rPr>
              <w:t>For cash advances, interest is usually charged from the date of the withdrawal.</w:t>
            </w:r>
          </w:p>
        </w:tc>
      </w:tr>
      <w:tr w:rsidR="008874A1" w:rsidTr="005C6717">
        <w:tc>
          <w:tcPr>
            <w:tcW w:w="1809" w:type="dxa"/>
            <w:tcBorders>
              <w:bottom w:val="single" w:sz="4" w:space="0" w:color="339CBA"/>
            </w:tcBorders>
            <w:shd w:val="clear" w:color="auto" w:fill="D8EEF4"/>
            <w:vAlign w:val="center"/>
          </w:tcPr>
          <w:p w:rsidR="008874A1" w:rsidRPr="007E1A2F" w:rsidRDefault="008874A1" w:rsidP="00AF046F">
            <w:pPr>
              <w:pStyle w:val="SBWSCopy"/>
              <w:spacing w:before="60" w:after="0"/>
              <w:jc w:val="center"/>
              <w:rPr>
                <w:b/>
                <w:color w:val="339CBA"/>
              </w:rPr>
            </w:pPr>
            <w:r w:rsidRPr="007E1A2F">
              <w:rPr>
                <w:b/>
                <w:color w:val="339CBA"/>
              </w:rPr>
              <w:t>Fees</w:t>
            </w:r>
          </w:p>
          <w:p w:rsidR="008874A1" w:rsidRPr="007E1A2F" w:rsidRDefault="008874A1" w:rsidP="00AF046F">
            <w:pPr>
              <w:spacing w:before="60" w:after="0"/>
              <w:jc w:val="center"/>
              <w:rPr>
                <w:b/>
                <w:color w:val="339CBA"/>
              </w:rPr>
            </w:pPr>
            <w:r w:rsidRPr="007E1A2F">
              <w:rPr>
                <w:b/>
                <w:color w:val="339CBA"/>
              </w:rPr>
              <w:t>Generally include:</w:t>
            </w:r>
          </w:p>
        </w:tc>
        <w:tc>
          <w:tcPr>
            <w:tcW w:w="4570" w:type="dxa"/>
            <w:tcBorders>
              <w:bottom w:val="single" w:sz="4" w:space="0" w:color="339CBA"/>
            </w:tcBorders>
            <w:shd w:val="clear" w:color="auto" w:fill="auto"/>
          </w:tcPr>
          <w:p w:rsidR="008874A1" w:rsidRPr="001B4254" w:rsidRDefault="008874A1" w:rsidP="00AF046F">
            <w:pPr>
              <w:pStyle w:val="ListParagraph"/>
              <w:numPr>
                <w:ilvl w:val="0"/>
                <w:numId w:val="1"/>
              </w:numPr>
              <w:rPr>
                <w:rFonts w:ascii="Arial" w:hAnsi="Arial" w:cs="Arial"/>
              </w:rPr>
            </w:pPr>
            <w:r w:rsidRPr="001B4254">
              <w:rPr>
                <w:rFonts w:ascii="Arial" w:hAnsi="Arial" w:cs="Arial"/>
              </w:rPr>
              <w:t xml:space="preserve">Application fee </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Line or facility fees</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Account-keeping</w:t>
            </w:r>
            <w:r>
              <w:rPr>
                <w:rFonts w:ascii="Arial" w:hAnsi="Arial" w:cs="Arial"/>
              </w:rPr>
              <w:t xml:space="preserve"> fees</w:t>
            </w:r>
          </w:p>
        </w:tc>
        <w:tc>
          <w:tcPr>
            <w:tcW w:w="4678" w:type="dxa"/>
            <w:tcBorders>
              <w:bottom w:val="single" w:sz="4" w:space="0" w:color="339CBA"/>
            </w:tcBorders>
            <w:shd w:val="clear" w:color="auto" w:fill="auto"/>
          </w:tcPr>
          <w:p w:rsidR="008874A1" w:rsidRPr="001B4254" w:rsidRDefault="008874A1" w:rsidP="00AF046F">
            <w:pPr>
              <w:pStyle w:val="ListParagraph"/>
              <w:numPr>
                <w:ilvl w:val="0"/>
                <w:numId w:val="1"/>
              </w:numPr>
              <w:rPr>
                <w:rFonts w:ascii="Arial" w:hAnsi="Arial" w:cs="Arial"/>
              </w:rPr>
            </w:pPr>
            <w:r w:rsidRPr="001B4254">
              <w:rPr>
                <w:rFonts w:ascii="Arial" w:hAnsi="Arial" w:cs="Arial"/>
              </w:rPr>
              <w:t xml:space="preserve">Application fee </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Line or facility fees</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Account-keeping fees</w:t>
            </w:r>
          </w:p>
        </w:tc>
        <w:tc>
          <w:tcPr>
            <w:tcW w:w="4394" w:type="dxa"/>
            <w:tcBorders>
              <w:bottom w:val="single" w:sz="4" w:space="0" w:color="339CBA"/>
            </w:tcBorders>
            <w:shd w:val="clear" w:color="auto" w:fill="auto"/>
          </w:tcPr>
          <w:p w:rsidR="008874A1" w:rsidRPr="001B4254" w:rsidRDefault="008874A1" w:rsidP="00AF046F">
            <w:pPr>
              <w:pStyle w:val="ListParagraph"/>
              <w:numPr>
                <w:ilvl w:val="0"/>
                <w:numId w:val="1"/>
              </w:numPr>
              <w:rPr>
                <w:rFonts w:ascii="Arial" w:hAnsi="Arial" w:cs="Arial"/>
              </w:rPr>
            </w:pPr>
            <w:r w:rsidRPr="001B4254">
              <w:rPr>
                <w:rFonts w:ascii="Arial" w:hAnsi="Arial" w:cs="Arial"/>
              </w:rPr>
              <w:t xml:space="preserve">Annual account fees </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 xml:space="preserve">Fees to use rewards programs </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 xml:space="preserve">Fees for late payments </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 xml:space="preserve">Payment dishonour fees </w:t>
            </w:r>
          </w:p>
          <w:p w:rsidR="008874A1" w:rsidRPr="001B4254" w:rsidRDefault="008874A1" w:rsidP="00AF046F">
            <w:pPr>
              <w:pStyle w:val="ListParagraph"/>
              <w:numPr>
                <w:ilvl w:val="0"/>
                <w:numId w:val="1"/>
              </w:numPr>
              <w:rPr>
                <w:rFonts w:ascii="Arial" w:hAnsi="Arial" w:cs="Arial"/>
              </w:rPr>
            </w:pPr>
            <w:r w:rsidRPr="001B4254">
              <w:rPr>
                <w:rFonts w:ascii="Arial" w:hAnsi="Arial" w:cs="Arial"/>
              </w:rPr>
              <w:t>Fees for exceeding your credit limit</w:t>
            </w:r>
            <w:r w:rsidR="001A236D">
              <w:rPr>
                <w:rFonts w:ascii="Arial" w:hAnsi="Arial" w:cs="Arial"/>
              </w:rPr>
              <w:br/>
            </w:r>
          </w:p>
        </w:tc>
      </w:tr>
      <w:tr w:rsidR="00D35129" w:rsidRPr="00D35129" w:rsidTr="005C6717">
        <w:tc>
          <w:tcPr>
            <w:tcW w:w="1809" w:type="dxa"/>
            <w:shd w:val="clear" w:color="auto" w:fill="339CBA"/>
            <w:vAlign w:val="center"/>
          </w:tcPr>
          <w:p w:rsidR="008874A1" w:rsidRPr="007E1A2F" w:rsidRDefault="008874A1" w:rsidP="00AF046F">
            <w:pPr>
              <w:spacing w:before="60" w:after="0"/>
              <w:jc w:val="center"/>
              <w:rPr>
                <w:b/>
                <w:color w:val="339CBA"/>
              </w:rPr>
            </w:pPr>
            <w:r w:rsidRPr="005C6717">
              <w:rPr>
                <w:b/>
                <w:color w:val="FFFFFF" w:themeColor="background1"/>
              </w:rPr>
              <w:lastRenderedPageBreak/>
              <w:t>Debt Product</w:t>
            </w:r>
          </w:p>
        </w:tc>
        <w:tc>
          <w:tcPr>
            <w:tcW w:w="4570" w:type="dxa"/>
            <w:shd w:val="clear" w:color="auto" w:fill="339CBA"/>
            <w:vAlign w:val="center"/>
          </w:tcPr>
          <w:p w:rsidR="008874A1" w:rsidRPr="00D35129" w:rsidRDefault="008874A1" w:rsidP="00DE4F19">
            <w:pPr>
              <w:pStyle w:val="SBWSCopy"/>
              <w:spacing w:after="0"/>
              <w:contextualSpacing/>
              <w:jc w:val="center"/>
              <w:rPr>
                <w:rFonts w:eastAsiaTheme="minorHAnsi" w:cstheme="minorBidi"/>
                <w:b/>
                <w:color w:val="FFFFFF" w:themeColor="background1"/>
                <w:sz w:val="24"/>
                <w:szCs w:val="22"/>
              </w:rPr>
            </w:pPr>
            <w:proofErr w:type="spellStart"/>
            <w:r w:rsidRPr="00D35129">
              <w:rPr>
                <w:rFonts w:eastAsiaTheme="minorHAnsi" w:cstheme="minorBidi"/>
                <w:b/>
                <w:color w:val="FFFFFF" w:themeColor="background1"/>
                <w:sz w:val="24"/>
                <w:szCs w:val="22"/>
              </w:rPr>
              <w:t>Cashflow</w:t>
            </w:r>
            <w:proofErr w:type="spellEnd"/>
            <w:r w:rsidRPr="00D35129">
              <w:rPr>
                <w:rFonts w:eastAsiaTheme="minorHAnsi" w:cstheme="minorBidi"/>
                <w:b/>
                <w:color w:val="FFFFFF" w:themeColor="background1"/>
                <w:sz w:val="24"/>
                <w:szCs w:val="22"/>
              </w:rPr>
              <w:t xml:space="preserve"> Lending</w:t>
            </w:r>
          </w:p>
        </w:tc>
        <w:tc>
          <w:tcPr>
            <w:tcW w:w="4678" w:type="dxa"/>
            <w:shd w:val="clear" w:color="auto" w:fill="339CBA"/>
            <w:vAlign w:val="center"/>
          </w:tcPr>
          <w:p w:rsidR="008874A1" w:rsidRPr="00D35129" w:rsidRDefault="008874A1" w:rsidP="00DE4F19">
            <w:pPr>
              <w:pStyle w:val="SBWSCopy"/>
              <w:spacing w:after="0"/>
              <w:contextualSpacing/>
              <w:jc w:val="center"/>
              <w:rPr>
                <w:rFonts w:eastAsiaTheme="minorHAnsi" w:cstheme="minorBidi"/>
                <w:b/>
                <w:color w:val="FFFFFF" w:themeColor="background1"/>
                <w:sz w:val="24"/>
                <w:szCs w:val="22"/>
              </w:rPr>
            </w:pPr>
            <w:r w:rsidRPr="00D35129">
              <w:rPr>
                <w:rFonts w:eastAsiaTheme="minorHAnsi" w:cstheme="minorBidi"/>
                <w:b/>
                <w:color w:val="FFFFFF" w:themeColor="background1"/>
                <w:sz w:val="24"/>
                <w:szCs w:val="22"/>
              </w:rPr>
              <w:t>Invoice / Debtor Finance</w:t>
            </w:r>
          </w:p>
        </w:tc>
        <w:tc>
          <w:tcPr>
            <w:tcW w:w="4394" w:type="dxa"/>
            <w:shd w:val="clear" w:color="auto" w:fill="339CBA"/>
            <w:vAlign w:val="center"/>
          </w:tcPr>
          <w:p w:rsidR="008874A1" w:rsidRPr="00D35129" w:rsidRDefault="008874A1" w:rsidP="00DE4F19">
            <w:pPr>
              <w:pStyle w:val="SBWSCopy"/>
              <w:spacing w:after="0"/>
              <w:contextualSpacing/>
              <w:jc w:val="center"/>
              <w:rPr>
                <w:rFonts w:eastAsiaTheme="minorHAnsi" w:cstheme="minorBidi"/>
                <w:b/>
                <w:color w:val="FFFFFF" w:themeColor="background1"/>
                <w:sz w:val="24"/>
                <w:szCs w:val="22"/>
              </w:rPr>
            </w:pPr>
            <w:r w:rsidRPr="00D35129">
              <w:rPr>
                <w:rFonts w:eastAsiaTheme="minorHAnsi" w:cstheme="minorBidi"/>
                <w:b/>
                <w:color w:val="FFFFFF" w:themeColor="background1"/>
                <w:sz w:val="24"/>
                <w:szCs w:val="22"/>
              </w:rPr>
              <w:t>Trade Finance</w:t>
            </w:r>
          </w:p>
        </w:tc>
      </w:tr>
      <w:tr w:rsidR="008874A1" w:rsidTr="00DE4F19">
        <w:tc>
          <w:tcPr>
            <w:tcW w:w="1809" w:type="dxa"/>
            <w:shd w:val="clear" w:color="auto" w:fill="D8EEF4"/>
            <w:vAlign w:val="center"/>
          </w:tcPr>
          <w:p w:rsidR="008874A1" w:rsidRPr="007E1A2F" w:rsidRDefault="008874A1" w:rsidP="00AF046F">
            <w:pPr>
              <w:spacing w:before="60" w:after="0"/>
              <w:jc w:val="center"/>
              <w:rPr>
                <w:color w:val="339CBA"/>
              </w:rPr>
            </w:pPr>
            <w:r w:rsidRPr="007E1A2F">
              <w:rPr>
                <w:b/>
                <w:color w:val="339CBA"/>
              </w:rPr>
              <w:t>Purpose</w:t>
            </w:r>
          </w:p>
        </w:tc>
        <w:tc>
          <w:tcPr>
            <w:tcW w:w="4570" w:type="dxa"/>
            <w:shd w:val="clear" w:color="auto" w:fill="auto"/>
          </w:tcPr>
          <w:p w:rsidR="008874A1" w:rsidRPr="00275480" w:rsidRDefault="008874A1" w:rsidP="00AF046F">
            <w:pPr>
              <w:pStyle w:val="SBWSCopy"/>
              <w:spacing w:before="60" w:after="0"/>
              <w:rPr>
                <w:szCs w:val="18"/>
              </w:rPr>
            </w:pPr>
            <w:r w:rsidRPr="00275480">
              <w:rPr>
                <w:szCs w:val="18"/>
              </w:rPr>
              <w:t>This product is generally used for funding fluctuations in working capital</w:t>
            </w:r>
            <w:r>
              <w:rPr>
                <w:szCs w:val="18"/>
              </w:rPr>
              <w:t xml:space="preserve"> such as seasonal stock purchases. </w:t>
            </w:r>
          </w:p>
        </w:tc>
        <w:tc>
          <w:tcPr>
            <w:tcW w:w="4678" w:type="dxa"/>
            <w:shd w:val="clear" w:color="auto" w:fill="auto"/>
          </w:tcPr>
          <w:p w:rsidR="008874A1" w:rsidRPr="00DB0295" w:rsidRDefault="008874A1" w:rsidP="00AF046F">
            <w:pPr>
              <w:pStyle w:val="SBWSCopy"/>
              <w:spacing w:before="60" w:after="0"/>
              <w:jc w:val="left"/>
              <w:rPr>
                <w:b/>
              </w:rPr>
            </w:pPr>
            <w:r w:rsidRPr="007A0AF1">
              <w:t>This product can provide core working capital finance, as well as meet short-term fluctuating needs.</w:t>
            </w:r>
          </w:p>
          <w:p w:rsidR="008874A1" w:rsidRPr="00275480" w:rsidRDefault="008874A1" w:rsidP="00AF046F">
            <w:pPr>
              <w:pStyle w:val="SBWSCopy"/>
              <w:spacing w:before="60" w:after="0"/>
              <w:jc w:val="left"/>
              <w:rPr>
                <w:szCs w:val="18"/>
              </w:rPr>
            </w:pPr>
          </w:p>
        </w:tc>
        <w:tc>
          <w:tcPr>
            <w:tcW w:w="4394" w:type="dxa"/>
            <w:shd w:val="clear" w:color="auto" w:fill="auto"/>
          </w:tcPr>
          <w:p w:rsidR="008874A1" w:rsidRPr="00275480" w:rsidRDefault="008874A1" w:rsidP="00AF046F">
            <w:pPr>
              <w:pStyle w:val="SBWSCopy"/>
              <w:spacing w:before="60" w:after="0"/>
              <w:jc w:val="left"/>
              <w:rPr>
                <w:szCs w:val="18"/>
              </w:rPr>
            </w:pPr>
            <w:r>
              <w:t xml:space="preserve">To fund the purchase of goods from domestic or international suppliers.  In some instances, the financier </w:t>
            </w:r>
            <w:r>
              <w:rPr>
                <w:lang w:val="en"/>
              </w:rPr>
              <w:t>can p</w:t>
            </w:r>
            <w:r w:rsidRPr="00895418">
              <w:rPr>
                <w:lang w:val="en"/>
              </w:rPr>
              <w:t>rovide credit insurance against the risks involved in international trade, such as price or currency fluctuations, or political risk</w:t>
            </w:r>
            <w:r>
              <w:rPr>
                <w:lang w:val="en"/>
              </w:rPr>
              <w:t>.</w:t>
            </w:r>
          </w:p>
        </w:tc>
      </w:tr>
      <w:tr w:rsidR="008874A1" w:rsidTr="00DE4F19">
        <w:tc>
          <w:tcPr>
            <w:tcW w:w="1809" w:type="dxa"/>
            <w:shd w:val="clear" w:color="auto" w:fill="D8EEF4"/>
            <w:vAlign w:val="center"/>
          </w:tcPr>
          <w:p w:rsidR="008874A1" w:rsidRPr="007E1A2F" w:rsidRDefault="008874A1" w:rsidP="00AF046F">
            <w:pPr>
              <w:spacing w:before="60" w:after="0"/>
              <w:jc w:val="center"/>
              <w:rPr>
                <w:color w:val="339CBA"/>
              </w:rPr>
            </w:pPr>
            <w:r w:rsidRPr="007E1A2F">
              <w:rPr>
                <w:b/>
                <w:color w:val="339CBA"/>
              </w:rPr>
              <w:t>Description</w:t>
            </w:r>
          </w:p>
        </w:tc>
        <w:tc>
          <w:tcPr>
            <w:tcW w:w="4570" w:type="dxa"/>
            <w:shd w:val="clear" w:color="auto" w:fill="auto"/>
          </w:tcPr>
          <w:p w:rsidR="008874A1" w:rsidRPr="00275480" w:rsidRDefault="008874A1" w:rsidP="00AF046F">
            <w:pPr>
              <w:pStyle w:val="SBWSCopy"/>
              <w:spacing w:before="60" w:after="0"/>
              <w:jc w:val="left"/>
              <w:rPr>
                <w:szCs w:val="18"/>
              </w:rPr>
            </w:pPr>
            <w:r w:rsidRPr="00275480">
              <w:rPr>
                <w:szCs w:val="18"/>
              </w:rPr>
              <w:t xml:space="preserve">A lending facility for small businesses that generate solid </w:t>
            </w:r>
            <w:proofErr w:type="spellStart"/>
            <w:r w:rsidRPr="00275480">
              <w:rPr>
                <w:szCs w:val="18"/>
              </w:rPr>
              <w:t>cashflow</w:t>
            </w:r>
            <w:proofErr w:type="spellEnd"/>
            <w:r w:rsidRPr="00275480">
              <w:rPr>
                <w:szCs w:val="18"/>
              </w:rPr>
              <w:t>, but do not own significant fixed assets to provide as security.</w:t>
            </w:r>
          </w:p>
          <w:p w:rsidR="008874A1" w:rsidRPr="00275480" w:rsidRDefault="008874A1" w:rsidP="00AF046F">
            <w:pPr>
              <w:pStyle w:val="SBWSCopy"/>
              <w:spacing w:before="60" w:after="0"/>
              <w:jc w:val="left"/>
              <w:rPr>
                <w:szCs w:val="18"/>
              </w:rPr>
            </w:pPr>
            <w:r w:rsidRPr="00275480">
              <w:rPr>
                <w:szCs w:val="18"/>
              </w:rPr>
              <w:t xml:space="preserve">The loan is secured by working capital assets of the business, such as stock and debtors.  The </w:t>
            </w:r>
            <w:proofErr w:type="spellStart"/>
            <w:r w:rsidRPr="00275480">
              <w:rPr>
                <w:szCs w:val="18"/>
              </w:rPr>
              <w:t>cashflow</w:t>
            </w:r>
            <w:proofErr w:type="spellEnd"/>
            <w:r w:rsidRPr="00275480">
              <w:rPr>
                <w:szCs w:val="18"/>
              </w:rPr>
              <w:t xml:space="preserve"> projections need to reflect the ability of the business to meet finance costs. Regular reports are required by the lender.</w:t>
            </w:r>
          </w:p>
          <w:p w:rsidR="008874A1" w:rsidRPr="008874A1" w:rsidRDefault="008874A1" w:rsidP="00AF046F">
            <w:pPr>
              <w:pStyle w:val="SBWSCopy"/>
              <w:spacing w:before="60" w:after="0"/>
              <w:jc w:val="left"/>
              <w:rPr>
                <w:szCs w:val="18"/>
              </w:rPr>
            </w:pPr>
            <w:r w:rsidRPr="00275480">
              <w:rPr>
                <w:szCs w:val="18"/>
              </w:rPr>
              <w:t xml:space="preserve">These loan facilities allow you to draw down on funds as required. </w:t>
            </w:r>
          </w:p>
        </w:tc>
        <w:tc>
          <w:tcPr>
            <w:tcW w:w="4678" w:type="dxa"/>
            <w:shd w:val="clear" w:color="auto" w:fill="auto"/>
          </w:tcPr>
          <w:p w:rsidR="008874A1" w:rsidRDefault="008874A1" w:rsidP="00AF046F">
            <w:pPr>
              <w:pStyle w:val="SBWSCopy"/>
              <w:spacing w:before="60" w:after="0"/>
              <w:jc w:val="left"/>
            </w:pPr>
            <w:r w:rsidRPr="00DB0295">
              <w:t>The funding is secured by the value of the amount owed by the business</w:t>
            </w:r>
            <w:r>
              <w:t>’</w:t>
            </w:r>
            <w:r w:rsidRPr="00DB0295">
              <w:t xml:space="preserve">s customers (debtors). </w:t>
            </w:r>
            <w:r>
              <w:t>F</w:t>
            </w:r>
            <w:r w:rsidRPr="00DB0295">
              <w:t xml:space="preserve">inance </w:t>
            </w:r>
            <w:r>
              <w:t xml:space="preserve">can be </w:t>
            </w:r>
            <w:r w:rsidRPr="00DB0295">
              <w:t xml:space="preserve">available </w:t>
            </w:r>
            <w:r>
              <w:t xml:space="preserve">for </w:t>
            </w:r>
            <w:r w:rsidRPr="00DB0295">
              <w:t>up to</w:t>
            </w:r>
            <w:r>
              <w:t xml:space="preserve"> approximately</w:t>
            </w:r>
            <w:r w:rsidRPr="00DB0295">
              <w:t xml:space="preserve"> </w:t>
            </w:r>
            <w:r>
              <w:t>85</w:t>
            </w:r>
            <w:r w:rsidRPr="00DB0295">
              <w:t xml:space="preserve">% of the book value of debtors.  </w:t>
            </w:r>
          </w:p>
          <w:p w:rsidR="008874A1" w:rsidRPr="008874A1" w:rsidRDefault="008874A1" w:rsidP="00AF046F">
            <w:pPr>
              <w:pStyle w:val="SBWSCopy"/>
              <w:spacing w:before="60" w:after="0"/>
              <w:jc w:val="left"/>
              <w:rPr>
                <w:i/>
              </w:rPr>
            </w:pPr>
            <w:r>
              <w:rPr>
                <w:i/>
              </w:rPr>
              <w:t xml:space="preserve">One debtor financing options involves the lender rather than you collecting the debts owed by your customers. You need to decide whether you are comfortable with a third party collecting debts off your customers and the message that this may send to your customers. </w:t>
            </w:r>
          </w:p>
        </w:tc>
        <w:tc>
          <w:tcPr>
            <w:tcW w:w="4394" w:type="dxa"/>
            <w:shd w:val="clear" w:color="auto" w:fill="auto"/>
          </w:tcPr>
          <w:p w:rsidR="008874A1" w:rsidRDefault="008874A1" w:rsidP="00AF046F">
            <w:pPr>
              <w:pStyle w:val="SBWSCopy"/>
              <w:spacing w:before="60" w:after="0"/>
              <w:jc w:val="left"/>
            </w:pPr>
            <w:r>
              <w:t>This finance is provided in various formats, such as provision of letter of credit, documentary collection or bank guarantees between the buyer and the seller.</w:t>
            </w:r>
          </w:p>
          <w:p w:rsidR="008874A1" w:rsidRPr="00494A2C" w:rsidRDefault="008874A1" w:rsidP="00AF046F">
            <w:pPr>
              <w:pStyle w:val="SBWSCopy"/>
              <w:spacing w:before="60" w:after="0"/>
              <w:jc w:val="left"/>
            </w:pPr>
          </w:p>
        </w:tc>
      </w:tr>
      <w:tr w:rsidR="008874A1" w:rsidTr="00DE4F19">
        <w:tc>
          <w:tcPr>
            <w:tcW w:w="1809" w:type="dxa"/>
            <w:shd w:val="clear" w:color="auto" w:fill="D8EEF4"/>
            <w:vAlign w:val="center"/>
          </w:tcPr>
          <w:p w:rsidR="008874A1" w:rsidRPr="007E1A2F" w:rsidRDefault="008874A1" w:rsidP="00AF046F">
            <w:pPr>
              <w:spacing w:before="60" w:after="0"/>
              <w:jc w:val="center"/>
              <w:rPr>
                <w:color w:val="339CBA"/>
              </w:rPr>
            </w:pPr>
            <w:r w:rsidRPr="007E1A2F">
              <w:rPr>
                <w:b/>
                <w:color w:val="339CBA"/>
              </w:rPr>
              <w:t>Repayment / Interest</w:t>
            </w:r>
          </w:p>
        </w:tc>
        <w:tc>
          <w:tcPr>
            <w:tcW w:w="4570" w:type="dxa"/>
            <w:shd w:val="clear" w:color="auto" w:fill="auto"/>
          </w:tcPr>
          <w:p w:rsidR="008874A1" w:rsidRPr="00275480" w:rsidRDefault="008874A1" w:rsidP="00AF046F">
            <w:pPr>
              <w:pStyle w:val="SBWSCopy"/>
              <w:spacing w:before="60" w:after="0"/>
              <w:jc w:val="left"/>
              <w:rPr>
                <w:szCs w:val="18"/>
              </w:rPr>
            </w:pPr>
            <w:r w:rsidRPr="00275480">
              <w:rPr>
                <w:szCs w:val="18"/>
              </w:rPr>
              <w:t>The loan is similar to that of an overdraft facility in that it is approved for a specific term, with a regular review requirement.</w:t>
            </w:r>
          </w:p>
          <w:p w:rsidR="008874A1" w:rsidRPr="008874A1" w:rsidRDefault="008874A1" w:rsidP="00AF046F">
            <w:pPr>
              <w:pStyle w:val="SBWSCopy"/>
              <w:spacing w:before="60" w:after="0"/>
              <w:jc w:val="left"/>
              <w:rPr>
                <w:szCs w:val="18"/>
              </w:rPr>
            </w:pPr>
            <w:r w:rsidRPr="00275480">
              <w:rPr>
                <w:szCs w:val="18"/>
              </w:rPr>
              <w:t>Interest is charged monthly on the daily balance outstanding.</w:t>
            </w:r>
          </w:p>
        </w:tc>
        <w:tc>
          <w:tcPr>
            <w:tcW w:w="4678" w:type="dxa"/>
            <w:shd w:val="clear" w:color="auto" w:fill="auto"/>
          </w:tcPr>
          <w:p w:rsidR="008874A1" w:rsidRPr="00DB0295" w:rsidRDefault="008874A1" w:rsidP="00AF046F">
            <w:pPr>
              <w:pStyle w:val="SBWSCopy"/>
              <w:spacing w:before="60" w:after="0"/>
              <w:jc w:val="left"/>
            </w:pPr>
            <w:r w:rsidRPr="00DB0295">
              <w:t xml:space="preserve">The debtor ledger value provides an upper limit of funds available.  Interest is payable monthly on the funds drawn down, or alternatively, the </w:t>
            </w:r>
            <w:r>
              <w:t xml:space="preserve">lender </w:t>
            </w:r>
            <w:r w:rsidRPr="00DB0295">
              <w:t>will take a percentage of the amount collected.</w:t>
            </w:r>
          </w:p>
        </w:tc>
        <w:tc>
          <w:tcPr>
            <w:tcW w:w="4394" w:type="dxa"/>
            <w:shd w:val="clear" w:color="auto" w:fill="auto"/>
          </w:tcPr>
          <w:p w:rsidR="008874A1" w:rsidRPr="00DB0295" w:rsidRDefault="008874A1" w:rsidP="00AF046F">
            <w:pPr>
              <w:pStyle w:val="SBWSCopy"/>
              <w:spacing w:before="60" w:after="0"/>
              <w:jc w:val="left"/>
            </w:pPr>
            <w:r>
              <w:t>Interest is charged on the amount provided for each trade transaction and the timing of repayment will depend on the type of trade finance product used.</w:t>
            </w:r>
          </w:p>
        </w:tc>
      </w:tr>
      <w:tr w:rsidR="008874A1" w:rsidTr="00DE4F19">
        <w:tc>
          <w:tcPr>
            <w:tcW w:w="1809" w:type="dxa"/>
            <w:shd w:val="clear" w:color="auto" w:fill="D8EEF4"/>
            <w:vAlign w:val="center"/>
          </w:tcPr>
          <w:p w:rsidR="008874A1" w:rsidRPr="007E1A2F" w:rsidRDefault="008874A1" w:rsidP="00AF046F">
            <w:pPr>
              <w:pStyle w:val="SBWSCopy"/>
              <w:spacing w:before="60" w:after="0"/>
              <w:jc w:val="center"/>
              <w:rPr>
                <w:b/>
                <w:color w:val="339CBA"/>
              </w:rPr>
            </w:pPr>
            <w:r w:rsidRPr="007E1A2F">
              <w:rPr>
                <w:b/>
                <w:color w:val="339CBA"/>
              </w:rPr>
              <w:t>Fees</w:t>
            </w:r>
          </w:p>
          <w:p w:rsidR="008874A1" w:rsidRPr="007E1A2F" w:rsidRDefault="008874A1" w:rsidP="00AF046F">
            <w:pPr>
              <w:spacing w:before="60" w:after="0"/>
              <w:jc w:val="center"/>
              <w:rPr>
                <w:b/>
                <w:color w:val="339CBA"/>
              </w:rPr>
            </w:pPr>
            <w:r w:rsidRPr="007E1A2F">
              <w:rPr>
                <w:b/>
                <w:color w:val="339CBA"/>
              </w:rPr>
              <w:t>Generally include:</w:t>
            </w:r>
          </w:p>
        </w:tc>
        <w:tc>
          <w:tcPr>
            <w:tcW w:w="4570" w:type="dxa"/>
            <w:shd w:val="clear" w:color="auto" w:fill="auto"/>
          </w:tcPr>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Establishment fee</w:t>
            </w:r>
          </w:p>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Service/ administration fee</w:t>
            </w:r>
          </w:p>
        </w:tc>
        <w:tc>
          <w:tcPr>
            <w:tcW w:w="4678" w:type="dxa"/>
            <w:shd w:val="clear" w:color="auto" w:fill="auto"/>
          </w:tcPr>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 xml:space="preserve">Establishment fee </w:t>
            </w:r>
          </w:p>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 xml:space="preserve">Line fee </w:t>
            </w:r>
          </w:p>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Administration /service fee</w:t>
            </w:r>
          </w:p>
        </w:tc>
        <w:tc>
          <w:tcPr>
            <w:tcW w:w="4394" w:type="dxa"/>
            <w:shd w:val="clear" w:color="auto" w:fill="auto"/>
          </w:tcPr>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 xml:space="preserve">Establishment fee </w:t>
            </w:r>
          </w:p>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 xml:space="preserve">Line fee </w:t>
            </w:r>
          </w:p>
          <w:p w:rsidR="008874A1" w:rsidRPr="001B4254" w:rsidRDefault="008874A1" w:rsidP="00AF046F">
            <w:pPr>
              <w:pStyle w:val="ListParagraph"/>
              <w:numPr>
                <w:ilvl w:val="0"/>
                <w:numId w:val="1"/>
              </w:numPr>
              <w:spacing w:before="60"/>
              <w:rPr>
                <w:rFonts w:ascii="Arial" w:hAnsi="Arial" w:cs="Arial"/>
              </w:rPr>
            </w:pPr>
            <w:r w:rsidRPr="001B4254">
              <w:rPr>
                <w:rFonts w:ascii="Arial" w:hAnsi="Arial" w:cs="Arial"/>
              </w:rPr>
              <w:t>Administration /service fee</w:t>
            </w:r>
          </w:p>
        </w:tc>
      </w:tr>
    </w:tbl>
    <w:p w:rsidR="008874A1" w:rsidRDefault="008874A1" w:rsidP="008874A1">
      <w:pPr>
        <w:rPr>
          <w:b/>
          <w:u w:val="single"/>
        </w:rPr>
      </w:pPr>
      <w:r>
        <w:rPr>
          <w:b/>
          <w:u w:val="single"/>
        </w:rPr>
        <w:br w:type="page"/>
      </w:r>
    </w:p>
    <w:p w:rsidR="008874A1" w:rsidRPr="00AF046F" w:rsidRDefault="008874A1" w:rsidP="001A236D">
      <w:pPr>
        <w:pStyle w:val="Heading1"/>
        <w:spacing w:before="0" w:after="0"/>
        <w:ind w:left="-90"/>
        <w:rPr>
          <w:color w:val="339CBA"/>
        </w:rPr>
      </w:pPr>
      <w:r w:rsidRPr="00AF046F">
        <w:rPr>
          <w:color w:val="339CBA"/>
        </w:rPr>
        <w:lastRenderedPageBreak/>
        <w:t>Lon</w:t>
      </w:r>
      <w:bookmarkStart w:id="0" w:name="_GoBack"/>
      <w:bookmarkEnd w:id="0"/>
      <w:r w:rsidRPr="00AF046F">
        <w:rPr>
          <w:color w:val="339CBA"/>
        </w:rPr>
        <w:t>g-term funding</w:t>
      </w:r>
    </w:p>
    <w:tbl>
      <w:tblPr>
        <w:tblStyle w:val="TableGrid"/>
        <w:tblW w:w="0" w:type="auto"/>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Layout w:type="fixed"/>
        <w:tblCellMar>
          <w:top w:w="72" w:type="dxa"/>
          <w:left w:w="115" w:type="dxa"/>
          <w:bottom w:w="72" w:type="dxa"/>
          <w:right w:w="115" w:type="dxa"/>
        </w:tblCellMar>
        <w:tblLook w:val="04A0" w:firstRow="1" w:lastRow="0" w:firstColumn="1" w:lastColumn="0" w:noHBand="0" w:noVBand="1"/>
      </w:tblPr>
      <w:tblGrid>
        <w:gridCol w:w="1809"/>
        <w:gridCol w:w="4253"/>
        <w:gridCol w:w="4394"/>
        <w:gridCol w:w="4394"/>
      </w:tblGrid>
      <w:tr w:rsidR="008874A1" w:rsidTr="00032FEE">
        <w:tc>
          <w:tcPr>
            <w:tcW w:w="1809" w:type="dxa"/>
            <w:tcBorders>
              <w:bottom w:val="single" w:sz="4" w:space="0" w:color="339CBA"/>
            </w:tcBorders>
            <w:shd w:val="clear" w:color="auto" w:fill="339CBA"/>
            <w:vAlign w:val="center"/>
          </w:tcPr>
          <w:p w:rsidR="008874A1" w:rsidRPr="007E1A2F" w:rsidRDefault="008874A1" w:rsidP="00DE4F19">
            <w:pPr>
              <w:spacing w:after="0" w:line="240" w:lineRule="auto"/>
              <w:jc w:val="center"/>
              <w:rPr>
                <w:color w:val="FFFFFF" w:themeColor="background1"/>
              </w:rPr>
            </w:pPr>
            <w:r w:rsidRPr="007E1A2F">
              <w:rPr>
                <w:b/>
                <w:color w:val="FFFFFF" w:themeColor="background1"/>
              </w:rPr>
              <w:t>Debt Product</w:t>
            </w:r>
          </w:p>
        </w:tc>
        <w:tc>
          <w:tcPr>
            <w:tcW w:w="4253" w:type="dxa"/>
            <w:shd w:val="clear" w:color="auto" w:fill="339CBA"/>
            <w:vAlign w:val="center"/>
          </w:tcPr>
          <w:p w:rsidR="008874A1" w:rsidRPr="007E1A2F" w:rsidRDefault="008874A1" w:rsidP="00DE4F19">
            <w:pPr>
              <w:pStyle w:val="SBWSCopy"/>
              <w:spacing w:after="0"/>
              <w:jc w:val="center"/>
              <w:rPr>
                <w:b/>
                <w:color w:val="FFFFFF" w:themeColor="background1"/>
              </w:rPr>
            </w:pPr>
            <w:r w:rsidRPr="007E1A2F">
              <w:rPr>
                <w:b/>
                <w:color w:val="FFFFFF" w:themeColor="background1"/>
              </w:rPr>
              <w:t>Fully drawn advance</w:t>
            </w:r>
          </w:p>
        </w:tc>
        <w:tc>
          <w:tcPr>
            <w:tcW w:w="4394" w:type="dxa"/>
            <w:shd w:val="clear" w:color="auto" w:fill="339CBA"/>
            <w:vAlign w:val="center"/>
          </w:tcPr>
          <w:p w:rsidR="008874A1" w:rsidRPr="007E1A2F" w:rsidRDefault="008874A1" w:rsidP="00DE4F19">
            <w:pPr>
              <w:pStyle w:val="SBWSCopy"/>
              <w:spacing w:after="0"/>
              <w:jc w:val="center"/>
              <w:rPr>
                <w:b/>
                <w:color w:val="FFFFFF" w:themeColor="background1"/>
              </w:rPr>
            </w:pPr>
            <w:r w:rsidRPr="007E1A2F">
              <w:rPr>
                <w:b/>
                <w:color w:val="FFFFFF" w:themeColor="background1"/>
              </w:rPr>
              <w:t>Mortgage Equity Loan</w:t>
            </w:r>
          </w:p>
        </w:tc>
        <w:tc>
          <w:tcPr>
            <w:tcW w:w="4394" w:type="dxa"/>
            <w:shd w:val="clear" w:color="auto" w:fill="339CBA"/>
            <w:vAlign w:val="center"/>
          </w:tcPr>
          <w:p w:rsidR="008874A1" w:rsidRPr="007E1A2F" w:rsidRDefault="008874A1" w:rsidP="00DE4F19">
            <w:pPr>
              <w:pStyle w:val="SBWSCopy"/>
              <w:spacing w:after="0"/>
              <w:jc w:val="center"/>
              <w:rPr>
                <w:b/>
                <w:color w:val="FFFFFF" w:themeColor="background1"/>
              </w:rPr>
            </w:pPr>
            <w:r w:rsidRPr="007E1A2F">
              <w:rPr>
                <w:b/>
                <w:color w:val="FFFFFF" w:themeColor="background1"/>
              </w:rPr>
              <w:t>Interest Only Loan</w:t>
            </w:r>
          </w:p>
        </w:tc>
      </w:tr>
      <w:tr w:rsidR="008874A1" w:rsidTr="00032FEE">
        <w:tc>
          <w:tcPr>
            <w:tcW w:w="1809" w:type="dxa"/>
            <w:shd w:val="clear" w:color="auto" w:fill="D8EEF4"/>
            <w:vAlign w:val="center"/>
          </w:tcPr>
          <w:p w:rsidR="008874A1" w:rsidRPr="007E1A2F" w:rsidRDefault="008874A1" w:rsidP="00032FEE">
            <w:pPr>
              <w:jc w:val="center"/>
              <w:rPr>
                <w:b/>
                <w:color w:val="339CBA"/>
              </w:rPr>
            </w:pPr>
            <w:r w:rsidRPr="007E1A2F">
              <w:rPr>
                <w:b/>
                <w:color w:val="339CBA"/>
              </w:rPr>
              <w:t>Purpose</w:t>
            </w:r>
          </w:p>
        </w:tc>
        <w:tc>
          <w:tcPr>
            <w:tcW w:w="4253" w:type="dxa"/>
            <w:shd w:val="clear" w:color="auto" w:fill="auto"/>
          </w:tcPr>
          <w:p w:rsidR="008874A1" w:rsidRPr="005C5EEA" w:rsidRDefault="008874A1" w:rsidP="008874A1">
            <w:pPr>
              <w:spacing w:before="60" w:after="60"/>
              <w:rPr>
                <w:rFonts w:eastAsia="Calibri" w:cs="Arial"/>
              </w:rPr>
            </w:pPr>
            <w:r w:rsidRPr="005C5EEA">
              <w:rPr>
                <w:rFonts w:eastAsia="Calibri" w:cs="Arial"/>
              </w:rPr>
              <w:t>This product is suitable for financing permanent or longer</w:t>
            </w:r>
            <w:r>
              <w:rPr>
                <w:rFonts w:eastAsia="Calibri" w:cs="Arial"/>
              </w:rPr>
              <w:t>-</w:t>
            </w:r>
            <w:r w:rsidRPr="005C5EEA">
              <w:rPr>
                <w:rFonts w:eastAsia="Calibri" w:cs="Arial"/>
              </w:rPr>
              <w:t>term funding requirements for property, plant and equipment, or for the purchase of a business.</w:t>
            </w:r>
          </w:p>
        </w:tc>
        <w:tc>
          <w:tcPr>
            <w:tcW w:w="4394" w:type="dxa"/>
            <w:shd w:val="clear" w:color="auto" w:fill="auto"/>
          </w:tcPr>
          <w:p w:rsidR="008874A1" w:rsidRPr="005C5EEA" w:rsidRDefault="008874A1" w:rsidP="008874A1">
            <w:pPr>
              <w:pStyle w:val="SBWSCopy"/>
              <w:spacing w:before="60" w:after="60"/>
              <w:jc w:val="left"/>
              <w:rPr>
                <w:szCs w:val="22"/>
              </w:rPr>
            </w:pPr>
            <w:r w:rsidRPr="005C5EEA">
              <w:rPr>
                <w:szCs w:val="22"/>
              </w:rPr>
              <w:t>A long-term form of finance suitable for purchase of capital assets such as land and building.</w:t>
            </w:r>
          </w:p>
        </w:tc>
        <w:tc>
          <w:tcPr>
            <w:tcW w:w="4394" w:type="dxa"/>
            <w:shd w:val="clear" w:color="auto" w:fill="auto"/>
          </w:tcPr>
          <w:p w:rsidR="008874A1" w:rsidRPr="005C5EEA" w:rsidRDefault="008874A1" w:rsidP="008874A1">
            <w:pPr>
              <w:pStyle w:val="SBWSCopy"/>
              <w:spacing w:before="60" w:after="60"/>
              <w:jc w:val="left"/>
              <w:rPr>
                <w:szCs w:val="22"/>
              </w:rPr>
            </w:pPr>
            <w:r w:rsidRPr="005C5EEA">
              <w:rPr>
                <w:szCs w:val="22"/>
              </w:rPr>
              <w:t xml:space="preserve">Generally used for medium-term funding requirements, it is suitable where a development period is required to establish a new area of business, where </w:t>
            </w:r>
            <w:proofErr w:type="spellStart"/>
            <w:r w:rsidRPr="005C5EEA">
              <w:rPr>
                <w:szCs w:val="22"/>
              </w:rPr>
              <w:t>cashflow</w:t>
            </w:r>
            <w:proofErr w:type="spellEnd"/>
            <w:r w:rsidRPr="005C5EEA">
              <w:rPr>
                <w:szCs w:val="22"/>
              </w:rPr>
              <w:t xml:space="preserve"> is tight at the beginning</w:t>
            </w:r>
            <w:r>
              <w:rPr>
                <w:szCs w:val="22"/>
              </w:rPr>
              <w:t>.</w:t>
            </w:r>
          </w:p>
        </w:tc>
      </w:tr>
      <w:tr w:rsidR="008874A1" w:rsidTr="00032FEE">
        <w:tc>
          <w:tcPr>
            <w:tcW w:w="1809" w:type="dxa"/>
            <w:shd w:val="clear" w:color="auto" w:fill="D8EEF4"/>
            <w:vAlign w:val="center"/>
          </w:tcPr>
          <w:p w:rsidR="008874A1" w:rsidRPr="007E1A2F" w:rsidRDefault="008874A1" w:rsidP="00032FEE">
            <w:pPr>
              <w:jc w:val="center"/>
              <w:rPr>
                <w:b/>
                <w:color w:val="339CBA"/>
              </w:rPr>
            </w:pPr>
            <w:r w:rsidRPr="007E1A2F">
              <w:rPr>
                <w:b/>
                <w:color w:val="339CBA"/>
              </w:rPr>
              <w:t>Description</w:t>
            </w:r>
          </w:p>
        </w:tc>
        <w:tc>
          <w:tcPr>
            <w:tcW w:w="4253" w:type="dxa"/>
            <w:shd w:val="clear" w:color="auto" w:fill="auto"/>
          </w:tcPr>
          <w:p w:rsidR="008874A1" w:rsidRPr="005C5EEA" w:rsidRDefault="008874A1" w:rsidP="008874A1">
            <w:pPr>
              <w:pStyle w:val="SBWSCopy"/>
              <w:spacing w:before="60" w:after="60"/>
              <w:jc w:val="left"/>
              <w:rPr>
                <w:szCs w:val="22"/>
              </w:rPr>
            </w:pPr>
            <w:r w:rsidRPr="005C5EEA">
              <w:rPr>
                <w:szCs w:val="22"/>
              </w:rPr>
              <w:t>This product is a long-term loan that requires principal and interest repayments over the term of the loan</w:t>
            </w:r>
            <w:r>
              <w:rPr>
                <w:szCs w:val="22"/>
              </w:rPr>
              <w:t xml:space="preserve"> which is</w:t>
            </w:r>
            <w:r w:rsidRPr="005C5EEA">
              <w:rPr>
                <w:szCs w:val="22"/>
              </w:rPr>
              <w:t xml:space="preserve"> generally between three and ten years.</w:t>
            </w:r>
          </w:p>
          <w:p w:rsidR="008874A1" w:rsidRPr="005C5EEA" w:rsidRDefault="008874A1" w:rsidP="008874A1">
            <w:pPr>
              <w:spacing w:before="60" w:after="60"/>
              <w:rPr>
                <w:rFonts w:eastAsia="Calibri" w:cs="Arial"/>
              </w:rPr>
            </w:pPr>
          </w:p>
        </w:tc>
        <w:tc>
          <w:tcPr>
            <w:tcW w:w="4394" w:type="dxa"/>
            <w:shd w:val="clear" w:color="auto" w:fill="auto"/>
          </w:tcPr>
          <w:p w:rsidR="008874A1" w:rsidRPr="005C5EEA" w:rsidRDefault="008874A1" w:rsidP="008874A1">
            <w:pPr>
              <w:spacing w:before="60" w:after="60"/>
              <w:rPr>
                <w:rFonts w:eastAsia="Calibri" w:cs="Arial"/>
              </w:rPr>
            </w:pPr>
            <w:r w:rsidRPr="005C5EEA">
              <w:t xml:space="preserve">A long-term loan where residential property is used as the primary source of security.  In general, lenders </w:t>
            </w:r>
            <w:r>
              <w:t xml:space="preserve">may </w:t>
            </w:r>
            <w:r w:rsidRPr="005C5EEA">
              <w:t>lend up to 80% of the value of the residential property.</w:t>
            </w:r>
          </w:p>
        </w:tc>
        <w:tc>
          <w:tcPr>
            <w:tcW w:w="4394" w:type="dxa"/>
            <w:shd w:val="clear" w:color="auto" w:fill="auto"/>
          </w:tcPr>
          <w:p w:rsidR="008874A1" w:rsidRPr="005C5EEA" w:rsidRDefault="008874A1" w:rsidP="008874A1">
            <w:pPr>
              <w:pStyle w:val="SBWSCopy"/>
              <w:spacing w:before="60" w:after="60"/>
              <w:jc w:val="left"/>
              <w:rPr>
                <w:szCs w:val="22"/>
              </w:rPr>
            </w:pPr>
            <w:r w:rsidRPr="005C5EEA">
              <w:rPr>
                <w:szCs w:val="22"/>
              </w:rPr>
              <w:t>An Interest Only Loan involves the lending of a fixed amount for a specific period, where only interest payments are required to be met during the term of the loan.  The principal is due on maturity of the loan.  The loan is generally secured by property or business assets</w:t>
            </w:r>
            <w:r>
              <w:rPr>
                <w:szCs w:val="22"/>
              </w:rPr>
              <w:t>.</w:t>
            </w:r>
          </w:p>
        </w:tc>
      </w:tr>
      <w:tr w:rsidR="008874A1" w:rsidTr="00032FEE">
        <w:tc>
          <w:tcPr>
            <w:tcW w:w="1809" w:type="dxa"/>
            <w:shd w:val="clear" w:color="auto" w:fill="D8EEF4"/>
            <w:vAlign w:val="center"/>
          </w:tcPr>
          <w:p w:rsidR="008874A1" w:rsidRPr="007E1A2F" w:rsidRDefault="008874A1" w:rsidP="00032FEE">
            <w:pPr>
              <w:jc w:val="center"/>
              <w:rPr>
                <w:b/>
                <w:color w:val="339CBA"/>
              </w:rPr>
            </w:pPr>
            <w:r w:rsidRPr="007E1A2F">
              <w:rPr>
                <w:b/>
                <w:color w:val="339CBA"/>
              </w:rPr>
              <w:t>Repayment / Interest</w:t>
            </w:r>
          </w:p>
        </w:tc>
        <w:tc>
          <w:tcPr>
            <w:tcW w:w="4253" w:type="dxa"/>
            <w:shd w:val="clear" w:color="auto" w:fill="auto"/>
          </w:tcPr>
          <w:p w:rsidR="008874A1" w:rsidRPr="005C5EEA" w:rsidRDefault="008874A1" w:rsidP="008874A1">
            <w:pPr>
              <w:pStyle w:val="SBWSCopy"/>
              <w:spacing w:before="60" w:after="60"/>
              <w:jc w:val="left"/>
              <w:rPr>
                <w:szCs w:val="22"/>
              </w:rPr>
            </w:pPr>
            <w:r w:rsidRPr="005C5EEA">
              <w:rPr>
                <w:szCs w:val="22"/>
              </w:rPr>
              <w:t>A fully drawn advance/term loan is provided for a fixed period. The loan is reduced by monthly repayments, which include both interest and principal components.</w:t>
            </w:r>
          </w:p>
          <w:p w:rsidR="008874A1" w:rsidRPr="008874A1" w:rsidRDefault="008874A1" w:rsidP="008874A1">
            <w:pPr>
              <w:pStyle w:val="SBWSCopy"/>
              <w:spacing w:before="60" w:after="60"/>
              <w:jc w:val="left"/>
              <w:rPr>
                <w:szCs w:val="22"/>
              </w:rPr>
            </w:pPr>
            <w:r w:rsidRPr="005C5EEA">
              <w:rPr>
                <w:szCs w:val="22"/>
              </w:rPr>
              <w:t>The interest rate can be fixed, variable or a combination of the two.  There may be penalties for early repayment if the rate is fixed.</w:t>
            </w:r>
          </w:p>
        </w:tc>
        <w:tc>
          <w:tcPr>
            <w:tcW w:w="4394" w:type="dxa"/>
            <w:shd w:val="clear" w:color="auto" w:fill="auto"/>
          </w:tcPr>
          <w:p w:rsidR="008874A1" w:rsidRPr="005C5EEA" w:rsidRDefault="008874A1" w:rsidP="008874A1">
            <w:pPr>
              <w:pStyle w:val="SBWSCopy"/>
              <w:spacing w:before="60" w:after="60"/>
              <w:jc w:val="left"/>
              <w:rPr>
                <w:szCs w:val="22"/>
              </w:rPr>
            </w:pPr>
            <w:r w:rsidRPr="005C5EEA">
              <w:rPr>
                <w:szCs w:val="22"/>
              </w:rPr>
              <w:t>The term of the loan is fixed.  Repayments will involve both principal and interest.</w:t>
            </w:r>
          </w:p>
          <w:p w:rsidR="008874A1" w:rsidRDefault="008874A1" w:rsidP="008874A1">
            <w:pPr>
              <w:pStyle w:val="SBWSCopy"/>
              <w:spacing w:before="60" w:after="60"/>
              <w:jc w:val="left"/>
              <w:rPr>
                <w:szCs w:val="22"/>
              </w:rPr>
            </w:pPr>
            <w:r w:rsidRPr="005C5EEA">
              <w:rPr>
                <w:szCs w:val="22"/>
              </w:rPr>
              <w:t xml:space="preserve">Interest can be based on fixed or variable rates or a combination.  </w:t>
            </w:r>
          </w:p>
          <w:p w:rsidR="008874A1" w:rsidRPr="003E522F" w:rsidRDefault="008874A1" w:rsidP="008874A1">
            <w:pPr>
              <w:pStyle w:val="SBWSCopy"/>
              <w:spacing w:before="60" w:after="60"/>
              <w:jc w:val="left"/>
              <w:rPr>
                <w:i/>
                <w:szCs w:val="22"/>
              </w:rPr>
            </w:pPr>
            <w:r>
              <w:rPr>
                <w:i/>
                <w:szCs w:val="22"/>
              </w:rPr>
              <w:t>The interest rate is generally higher than the interest rate charged for a home mortgage.</w:t>
            </w:r>
          </w:p>
        </w:tc>
        <w:tc>
          <w:tcPr>
            <w:tcW w:w="4394" w:type="dxa"/>
            <w:shd w:val="clear" w:color="auto" w:fill="auto"/>
          </w:tcPr>
          <w:p w:rsidR="008874A1" w:rsidRPr="005C5EEA" w:rsidRDefault="008874A1" w:rsidP="008874A1">
            <w:pPr>
              <w:pStyle w:val="SBWSCopy"/>
              <w:spacing w:before="60" w:after="60"/>
              <w:jc w:val="left"/>
              <w:rPr>
                <w:szCs w:val="22"/>
              </w:rPr>
            </w:pPr>
            <w:r w:rsidRPr="005C5EEA">
              <w:rPr>
                <w:szCs w:val="22"/>
              </w:rPr>
              <w:t>The loans are generally for a period of 1 to 3 years.  The principal is due on maturity.  The loan may be rolled over into a principal and interest type product at the end of the term.</w:t>
            </w:r>
          </w:p>
          <w:p w:rsidR="008874A1" w:rsidRPr="005C5EEA" w:rsidRDefault="008874A1" w:rsidP="008874A1">
            <w:pPr>
              <w:spacing w:before="60" w:after="60"/>
              <w:rPr>
                <w:rFonts w:eastAsia="Calibri" w:cs="Arial"/>
              </w:rPr>
            </w:pPr>
            <w:r w:rsidRPr="005C5EEA">
              <w:t>Interest is generally paid on a monthly basis, based on the full amount of the loan.</w:t>
            </w:r>
          </w:p>
        </w:tc>
      </w:tr>
      <w:tr w:rsidR="008874A1" w:rsidTr="00032FEE">
        <w:tc>
          <w:tcPr>
            <w:tcW w:w="1809" w:type="dxa"/>
            <w:shd w:val="clear" w:color="auto" w:fill="D8EEF4"/>
            <w:vAlign w:val="center"/>
          </w:tcPr>
          <w:p w:rsidR="008874A1" w:rsidRPr="007E1A2F" w:rsidRDefault="008874A1" w:rsidP="00032FEE">
            <w:pPr>
              <w:pStyle w:val="SBWSCopy"/>
              <w:spacing w:before="120" w:after="80"/>
              <w:jc w:val="center"/>
              <w:rPr>
                <w:b/>
                <w:color w:val="339CBA"/>
              </w:rPr>
            </w:pPr>
            <w:r w:rsidRPr="007E1A2F">
              <w:rPr>
                <w:b/>
                <w:color w:val="339CBA"/>
              </w:rPr>
              <w:t>Fees</w:t>
            </w:r>
          </w:p>
          <w:p w:rsidR="008874A1" w:rsidRPr="007E1A2F" w:rsidRDefault="008874A1" w:rsidP="00032FEE">
            <w:pPr>
              <w:jc w:val="center"/>
              <w:rPr>
                <w:b/>
                <w:color w:val="339CBA"/>
              </w:rPr>
            </w:pPr>
            <w:r w:rsidRPr="007E1A2F">
              <w:rPr>
                <w:b/>
                <w:color w:val="339CBA"/>
              </w:rPr>
              <w:t>Generally include:</w:t>
            </w:r>
          </w:p>
        </w:tc>
        <w:tc>
          <w:tcPr>
            <w:tcW w:w="4253" w:type="dxa"/>
            <w:shd w:val="clear" w:color="auto" w:fill="auto"/>
          </w:tcPr>
          <w:p w:rsidR="008874A1" w:rsidRPr="001B4254" w:rsidRDefault="008874A1" w:rsidP="008874A1">
            <w:pPr>
              <w:pStyle w:val="ListParagraph"/>
              <w:numPr>
                <w:ilvl w:val="0"/>
                <w:numId w:val="1"/>
              </w:numPr>
              <w:spacing w:before="60" w:after="60"/>
              <w:rPr>
                <w:rFonts w:ascii="Arial" w:hAnsi="Arial" w:cs="Arial"/>
              </w:rPr>
            </w:pPr>
            <w:r w:rsidRPr="001B4254">
              <w:rPr>
                <w:rFonts w:ascii="Arial" w:hAnsi="Arial" w:cs="Arial"/>
              </w:rPr>
              <w:t xml:space="preserve">Application fee </w:t>
            </w:r>
          </w:p>
          <w:p w:rsidR="008874A1" w:rsidRPr="00171111" w:rsidRDefault="008874A1" w:rsidP="008874A1">
            <w:pPr>
              <w:pStyle w:val="ListParagraph"/>
              <w:numPr>
                <w:ilvl w:val="0"/>
                <w:numId w:val="1"/>
              </w:numPr>
              <w:spacing w:before="60" w:after="60"/>
              <w:rPr>
                <w:rFonts w:ascii="Arial" w:eastAsia="Calibri" w:hAnsi="Arial" w:cs="Arial"/>
              </w:rPr>
            </w:pPr>
            <w:r w:rsidRPr="001B4254">
              <w:rPr>
                <w:rFonts w:ascii="Arial" w:hAnsi="Arial" w:cs="Arial"/>
              </w:rPr>
              <w:t>Monthly account fees</w:t>
            </w:r>
          </w:p>
          <w:p w:rsidR="008874A1" w:rsidRPr="001B4254" w:rsidRDefault="008874A1" w:rsidP="008874A1">
            <w:pPr>
              <w:spacing w:before="60" w:after="60"/>
              <w:rPr>
                <w:rFonts w:eastAsia="Calibri" w:cs="Arial"/>
              </w:rPr>
            </w:pPr>
          </w:p>
        </w:tc>
        <w:tc>
          <w:tcPr>
            <w:tcW w:w="4394" w:type="dxa"/>
            <w:shd w:val="clear" w:color="auto" w:fill="auto"/>
          </w:tcPr>
          <w:p w:rsidR="008874A1" w:rsidRPr="001B4254" w:rsidRDefault="008874A1" w:rsidP="008874A1">
            <w:pPr>
              <w:pStyle w:val="ListParagraph"/>
              <w:numPr>
                <w:ilvl w:val="0"/>
                <w:numId w:val="1"/>
              </w:numPr>
              <w:spacing w:before="60" w:after="60"/>
              <w:rPr>
                <w:rFonts w:ascii="Arial" w:hAnsi="Arial" w:cs="Arial"/>
              </w:rPr>
            </w:pPr>
            <w:r w:rsidRPr="001B4254">
              <w:rPr>
                <w:rFonts w:ascii="Arial" w:hAnsi="Arial" w:cs="Arial"/>
              </w:rPr>
              <w:t xml:space="preserve">Establishment fee </w:t>
            </w:r>
          </w:p>
          <w:p w:rsidR="008874A1" w:rsidRPr="001B4254" w:rsidRDefault="008874A1" w:rsidP="008874A1">
            <w:pPr>
              <w:pStyle w:val="ListParagraph"/>
              <w:numPr>
                <w:ilvl w:val="0"/>
                <w:numId w:val="1"/>
              </w:numPr>
              <w:spacing w:before="60" w:after="60"/>
              <w:rPr>
                <w:rFonts w:ascii="Arial" w:hAnsi="Arial" w:cs="Arial"/>
              </w:rPr>
            </w:pPr>
            <w:r w:rsidRPr="001B4254">
              <w:rPr>
                <w:rFonts w:ascii="Arial" w:hAnsi="Arial" w:cs="Arial"/>
              </w:rPr>
              <w:t>Administration/ service fees</w:t>
            </w:r>
          </w:p>
        </w:tc>
        <w:tc>
          <w:tcPr>
            <w:tcW w:w="4394" w:type="dxa"/>
            <w:shd w:val="clear" w:color="auto" w:fill="auto"/>
          </w:tcPr>
          <w:p w:rsidR="008874A1" w:rsidRPr="001B4254" w:rsidRDefault="008874A1" w:rsidP="008874A1">
            <w:pPr>
              <w:pStyle w:val="ListParagraph"/>
              <w:numPr>
                <w:ilvl w:val="0"/>
                <w:numId w:val="1"/>
              </w:numPr>
              <w:spacing w:before="60" w:after="60"/>
              <w:rPr>
                <w:rFonts w:ascii="Arial" w:hAnsi="Arial" w:cs="Arial"/>
              </w:rPr>
            </w:pPr>
            <w:r w:rsidRPr="001B4254">
              <w:rPr>
                <w:rFonts w:ascii="Arial" w:hAnsi="Arial" w:cs="Arial"/>
              </w:rPr>
              <w:t xml:space="preserve">Establishment fee </w:t>
            </w:r>
          </w:p>
          <w:p w:rsidR="008874A1" w:rsidRPr="001B4254" w:rsidRDefault="008874A1" w:rsidP="008874A1">
            <w:pPr>
              <w:pStyle w:val="ListParagraph"/>
              <w:numPr>
                <w:ilvl w:val="0"/>
                <w:numId w:val="1"/>
              </w:numPr>
              <w:spacing w:before="60" w:after="60"/>
              <w:rPr>
                <w:rFonts w:ascii="Arial" w:hAnsi="Arial" w:cs="Arial"/>
              </w:rPr>
            </w:pPr>
            <w:r w:rsidRPr="001B4254">
              <w:rPr>
                <w:rFonts w:ascii="Arial" w:hAnsi="Arial" w:cs="Arial"/>
              </w:rPr>
              <w:t>Administration/ service fees</w:t>
            </w:r>
          </w:p>
        </w:tc>
      </w:tr>
    </w:tbl>
    <w:p w:rsidR="008874A1" w:rsidRDefault="008874A1" w:rsidP="008874A1"/>
    <w:tbl>
      <w:tblPr>
        <w:tblStyle w:val="TableGrid"/>
        <w:tblW w:w="13291" w:type="dxa"/>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CellMar>
          <w:top w:w="72" w:type="dxa"/>
          <w:left w:w="115" w:type="dxa"/>
          <w:bottom w:w="72" w:type="dxa"/>
          <w:right w:w="115" w:type="dxa"/>
        </w:tblCellMar>
        <w:tblLook w:val="04A0" w:firstRow="1" w:lastRow="0" w:firstColumn="1" w:lastColumn="0" w:noHBand="0" w:noVBand="1"/>
      </w:tblPr>
      <w:tblGrid>
        <w:gridCol w:w="1809"/>
        <w:gridCol w:w="5245"/>
        <w:gridCol w:w="6237"/>
      </w:tblGrid>
      <w:tr w:rsidR="008874A1" w:rsidTr="00833C32">
        <w:tc>
          <w:tcPr>
            <w:tcW w:w="1809" w:type="dxa"/>
            <w:tcBorders>
              <w:bottom w:val="single" w:sz="4" w:space="0" w:color="339CBA"/>
            </w:tcBorders>
            <w:shd w:val="clear" w:color="auto" w:fill="339CBA"/>
            <w:vAlign w:val="center"/>
          </w:tcPr>
          <w:p w:rsidR="008874A1" w:rsidRPr="00032FEE" w:rsidRDefault="008874A1" w:rsidP="00032FEE">
            <w:pPr>
              <w:spacing w:after="0"/>
              <w:jc w:val="center"/>
              <w:rPr>
                <w:b/>
                <w:color w:val="FFFFFF" w:themeColor="background1"/>
              </w:rPr>
            </w:pPr>
            <w:r w:rsidRPr="00032FEE">
              <w:rPr>
                <w:b/>
                <w:color w:val="FFFFFF" w:themeColor="background1"/>
              </w:rPr>
              <w:lastRenderedPageBreak/>
              <w:t>Debt Product</w:t>
            </w:r>
          </w:p>
        </w:tc>
        <w:tc>
          <w:tcPr>
            <w:tcW w:w="5245" w:type="dxa"/>
            <w:shd w:val="clear" w:color="auto" w:fill="339CBA"/>
            <w:vAlign w:val="center"/>
          </w:tcPr>
          <w:p w:rsidR="008874A1" w:rsidRPr="00032FEE" w:rsidRDefault="008874A1" w:rsidP="00032FEE">
            <w:pPr>
              <w:pStyle w:val="SBWSCopy"/>
              <w:spacing w:before="120" w:after="0"/>
              <w:jc w:val="center"/>
              <w:rPr>
                <w:b/>
                <w:color w:val="FFFFFF" w:themeColor="background1"/>
              </w:rPr>
            </w:pPr>
            <w:r w:rsidRPr="00032FEE">
              <w:rPr>
                <w:b/>
                <w:color w:val="FFFFFF" w:themeColor="background1"/>
              </w:rPr>
              <w:t>Vehicle / Equipment Finance</w:t>
            </w:r>
          </w:p>
        </w:tc>
        <w:tc>
          <w:tcPr>
            <w:tcW w:w="6237" w:type="dxa"/>
            <w:shd w:val="clear" w:color="auto" w:fill="339CBA"/>
            <w:vAlign w:val="center"/>
          </w:tcPr>
          <w:p w:rsidR="008874A1" w:rsidRPr="00032FEE" w:rsidRDefault="008874A1" w:rsidP="00032FEE">
            <w:pPr>
              <w:pStyle w:val="SBWSCopy"/>
              <w:spacing w:before="120" w:after="0"/>
              <w:jc w:val="center"/>
              <w:rPr>
                <w:b/>
                <w:color w:val="FFFFFF" w:themeColor="background1"/>
              </w:rPr>
            </w:pPr>
            <w:r w:rsidRPr="00032FEE">
              <w:rPr>
                <w:b/>
                <w:color w:val="FFFFFF" w:themeColor="background1"/>
              </w:rPr>
              <w:t>Leases and Hire</w:t>
            </w:r>
          </w:p>
        </w:tc>
      </w:tr>
      <w:tr w:rsidR="008874A1" w:rsidTr="00833C32">
        <w:tc>
          <w:tcPr>
            <w:tcW w:w="1809" w:type="dxa"/>
            <w:shd w:val="clear" w:color="auto" w:fill="D8EEF4"/>
          </w:tcPr>
          <w:p w:rsidR="008874A1" w:rsidRPr="00833C32" w:rsidRDefault="008874A1" w:rsidP="00CB07CB">
            <w:pPr>
              <w:rPr>
                <w:color w:val="339CBA"/>
              </w:rPr>
            </w:pPr>
            <w:r w:rsidRPr="00833C32">
              <w:rPr>
                <w:b/>
                <w:color w:val="339CBA"/>
              </w:rPr>
              <w:t>Purpose</w:t>
            </w:r>
          </w:p>
        </w:tc>
        <w:tc>
          <w:tcPr>
            <w:tcW w:w="5245" w:type="dxa"/>
            <w:shd w:val="clear" w:color="auto" w:fill="auto"/>
          </w:tcPr>
          <w:p w:rsidR="008874A1" w:rsidRPr="005C5EEA" w:rsidRDefault="008874A1" w:rsidP="008874A1">
            <w:pPr>
              <w:pStyle w:val="SBWSCopy"/>
              <w:spacing w:before="60" w:after="60"/>
              <w:rPr>
                <w:szCs w:val="22"/>
              </w:rPr>
            </w:pPr>
            <w:r w:rsidRPr="005C5EEA">
              <w:rPr>
                <w:szCs w:val="22"/>
              </w:rPr>
              <w:t xml:space="preserve">This funding product </w:t>
            </w:r>
            <w:r>
              <w:rPr>
                <w:szCs w:val="22"/>
              </w:rPr>
              <w:t xml:space="preserve">is </w:t>
            </w:r>
            <w:r w:rsidRPr="005C5EEA">
              <w:rPr>
                <w:szCs w:val="22"/>
              </w:rPr>
              <w:t>used for financing assets such as motor vehicles and plant and equipment.</w:t>
            </w:r>
          </w:p>
        </w:tc>
        <w:tc>
          <w:tcPr>
            <w:tcW w:w="6237" w:type="dxa"/>
            <w:shd w:val="clear" w:color="auto" w:fill="auto"/>
          </w:tcPr>
          <w:p w:rsidR="008874A1" w:rsidRPr="005C5EEA" w:rsidRDefault="008874A1" w:rsidP="008874A1">
            <w:pPr>
              <w:pStyle w:val="SBWSCopy"/>
              <w:spacing w:before="60" w:after="60"/>
              <w:jc w:val="left"/>
              <w:rPr>
                <w:szCs w:val="22"/>
              </w:rPr>
            </w:pPr>
            <w:r w:rsidRPr="005C5EEA">
              <w:rPr>
                <w:szCs w:val="22"/>
              </w:rPr>
              <w:t>Used for financing assets such as motor vehicles, plant and equipment and technology.</w:t>
            </w:r>
          </w:p>
        </w:tc>
      </w:tr>
      <w:tr w:rsidR="008874A1" w:rsidTr="00833C32">
        <w:tc>
          <w:tcPr>
            <w:tcW w:w="1809" w:type="dxa"/>
            <w:shd w:val="clear" w:color="auto" w:fill="D8EEF4"/>
          </w:tcPr>
          <w:p w:rsidR="008874A1" w:rsidRPr="00833C32" w:rsidRDefault="008874A1" w:rsidP="00CB07CB">
            <w:pPr>
              <w:rPr>
                <w:color w:val="339CBA"/>
              </w:rPr>
            </w:pPr>
            <w:r w:rsidRPr="00833C32">
              <w:rPr>
                <w:b/>
                <w:color w:val="339CBA"/>
              </w:rPr>
              <w:t>Description</w:t>
            </w:r>
          </w:p>
        </w:tc>
        <w:tc>
          <w:tcPr>
            <w:tcW w:w="5245" w:type="dxa"/>
            <w:shd w:val="clear" w:color="auto" w:fill="auto"/>
          </w:tcPr>
          <w:p w:rsidR="008874A1" w:rsidRPr="005C5EEA" w:rsidRDefault="008874A1" w:rsidP="008874A1">
            <w:pPr>
              <w:spacing w:before="60" w:after="60"/>
              <w:rPr>
                <w:rFonts w:eastAsia="Calibri" w:cs="Arial"/>
              </w:rPr>
            </w:pPr>
            <w:r w:rsidRPr="005C5EEA">
              <w:t>Under this finance, the equipment/asset provides the security for the loan while the asset will be owned by the borrower and they would expect to be able to claim the full amount of the GST as a capital acquisition on purchase of the capital item</w:t>
            </w:r>
            <w:r>
              <w:t xml:space="preserve"> (if GST is applicable)</w:t>
            </w:r>
            <w:r w:rsidRPr="005C5EEA">
              <w:t>.</w:t>
            </w:r>
          </w:p>
        </w:tc>
        <w:tc>
          <w:tcPr>
            <w:tcW w:w="6237" w:type="dxa"/>
            <w:shd w:val="clear" w:color="auto" w:fill="auto"/>
          </w:tcPr>
          <w:p w:rsidR="008874A1" w:rsidRPr="005C5EEA" w:rsidRDefault="008874A1" w:rsidP="008874A1">
            <w:pPr>
              <w:pStyle w:val="SBWSCopy"/>
              <w:spacing w:before="60" w:after="60"/>
              <w:jc w:val="left"/>
              <w:rPr>
                <w:szCs w:val="22"/>
              </w:rPr>
            </w:pPr>
            <w:r w:rsidRPr="005C5EEA">
              <w:rPr>
                <w:szCs w:val="22"/>
              </w:rPr>
              <w:t xml:space="preserve">Leases differ from loans (including hire purchase agreements) in that the leased item is still owned by the lender. </w:t>
            </w:r>
          </w:p>
          <w:p w:rsidR="008874A1" w:rsidRPr="005C5EEA" w:rsidRDefault="008874A1" w:rsidP="008874A1">
            <w:pPr>
              <w:pStyle w:val="SBWSCopy"/>
              <w:spacing w:before="60" w:after="60"/>
              <w:jc w:val="left"/>
              <w:rPr>
                <w:szCs w:val="22"/>
              </w:rPr>
            </w:pPr>
            <w:r w:rsidRPr="005C5EEA">
              <w:rPr>
                <w:szCs w:val="22"/>
              </w:rPr>
              <w:t>There are two types of leases – finance and operating.  At the end of a finance lease, the business has the opportunity to purchase the asset from the lender at its residual value, whereas under an operating lease, the ownership of the asset at the end of the lease remains with the lender.</w:t>
            </w:r>
          </w:p>
          <w:p w:rsidR="008874A1" w:rsidRPr="005C5EEA" w:rsidRDefault="008874A1" w:rsidP="008874A1">
            <w:pPr>
              <w:pStyle w:val="SBWSCopy"/>
              <w:spacing w:before="60" w:after="60"/>
              <w:jc w:val="left"/>
              <w:rPr>
                <w:szCs w:val="22"/>
              </w:rPr>
            </w:pPr>
            <w:r w:rsidRPr="005C5EEA">
              <w:rPr>
                <w:szCs w:val="22"/>
              </w:rPr>
              <w:t xml:space="preserve">Hire purchase finance is similar to a finance lease, except that ownership passes to the hirer at the outset of the transaction.  </w:t>
            </w:r>
          </w:p>
          <w:p w:rsidR="008874A1" w:rsidRPr="005C5EEA" w:rsidRDefault="008874A1" w:rsidP="008874A1">
            <w:pPr>
              <w:spacing w:before="60" w:after="60"/>
              <w:rPr>
                <w:rFonts w:eastAsia="Calibri" w:cs="Arial"/>
              </w:rPr>
            </w:pPr>
            <w:r w:rsidRPr="005C5EEA">
              <w:t>Each of the above products also has different tax and GST implications</w:t>
            </w:r>
            <w:r>
              <w:t xml:space="preserve"> and you should talk to your accountant as to what is best for your business.</w:t>
            </w:r>
          </w:p>
        </w:tc>
      </w:tr>
      <w:tr w:rsidR="008874A1" w:rsidTr="00833C32">
        <w:tc>
          <w:tcPr>
            <w:tcW w:w="1809" w:type="dxa"/>
            <w:shd w:val="clear" w:color="auto" w:fill="D8EEF4"/>
          </w:tcPr>
          <w:p w:rsidR="008874A1" w:rsidRPr="00833C32" w:rsidRDefault="008874A1" w:rsidP="00CB07CB">
            <w:pPr>
              <w:rPr>
                <w:color w:val="339CBA"/>
              </w:rPr>
            </w:pPr>
            <w:r w:rsidRPr="00833C32">
              <w:rPr>
                <w:b/>
                <w:color w:val="339CBA"/>
              </w:rPr>
              <w:t>Repayment / Interest</w:t>
            </w:r>
          </w:p>
        </w:tc>
        <w:tc>
          <w:tcPr>
            <w:tcW w:w="5245" w:type="dxa"/>
            <w:shd w:val="clear" w:color="auto" w:fill="auto"/>
          </w:tcPr>
          <w:p w:rsidR="008874A1" w:rsidRPr="005C5EEA" w:rsidRDefault="008874A1" w:rsidP="008874A1">
            <w:pPr>
              <w:pStyle w:val="SBWSCopy"/>
              <w:spacing w:before="60" w:after="60"/>
              <w:jc w:val="left"/>
            </w:pPr>
            <w:r w:rsidRPr="005C5EEA">
              <w:rPr>
                <w:szCs w:val="22"/>
              </w:rPr>
              <w:t>The type of finance is generally over a three to five year period.  The repayments are usually on a monthly basis and include components of interest and principal over the term of the product.  At the end of a finance period, there is may be a capital residual to be paid which is higher than the regular repayments and is referred to as a “balloon repayment”.</w:t>
            </w:r>
          </w:p>
        </w:tc>
        <w:tc>
          <w:tcPr>
            <w:tcW w:w="6237" w:type="dxa"/>
            <w:shd w:val="clear" w:color="auto" w:fill="auto"/>
          </w:tcPr>
          <w:p w:rsidR="008874A1" w:rsidRPr="005C5EEA" w:rsidRDefault="008874A1" w:rsidP="008874A1">
            <w:pPr>
              <w:pStyle w:val="SBWSCopy"/>
              <w:spacing w:before="60" w:after="60"/>
              <w:jc w:val="left"/>
              <w:rPr>
                <w:szCs w:val="22"/>
              </w:rPr>
            </w:pPr>
            <w:r w:rsidRPr="005C5EEA">
              <w:rPr>
                <w:szCs w:val="22"/>
              </w:rPr>
              <w:t>Leases and hire purchase finance are generally for a period of three to five years.  The repayments are usually on a monthly basis, and include components of interest and principal over the term of the product.  At the end of a finance lease and hire purchase contract, there is usually a capital residual to be paid. This is known as the “balloon” payment and can be large, but is disclosed</w:t>
            </w:r>
            <w:r>
              <w:rPr>
                <w:szCs w:val="22"/>
              </w:rPr>
              <w:t xml:space="preserve"> at the time the lease or hire purchase is entered into</w:t>
            </w:r>
            <w:r w:rsidRPr="005C5EEA">
              <w:rPr>
                <w:szCs w:val="22"/>
              </w:rPr>
              <w:t xml:space="preserve">. GST is charged on repayment or hire purchases and leases. </w:t>
            </w:r>
          </w:p>
        </w:tc>
      </w:tr>
      <w:tr w:rsidR="008874A1" w:rsidTr="00833C32">
        <w:tc>
          <w:tcPr>
            <w:tcW w:w="1809" w:type="dxa"/>
            <w:shd w:val="clear" w:color="auto" w:fill="D8EEF4"/>
          </w:tcPr>
          <w:p w:rsidR="008874A1" w:rsidRPr="00833C32" w:rsidRDefault="008874A1" w:rsidP="00A90978">
            <w:pPr>
              <w:pStyle w:val="SBWSCopy"/>
              <w:spacing w:after="80"/>
              <w:jc w:val="center"/>
              <w:rPr>
                <w:b/>
                <w:color w:val="339CBA"/>
              </w:rPr>
            </w:pPr>
            <w:r w:rsidRPr="00833C32">
              <w:rPr>
                <w:b/>
                <w:color w:val="339CBA"/>
              </w:rPr>
              <w:t>Fees</w:t>
            </w:r>
          </w:p>
          <w:p w:rsidR="008874A1" w:rsidRPr="00833C32" w:rsidRDefault="008874A1" w:rsidP="00A90978">
            <w:pPr>
              <w:jc w:val="center"/>
              <w:rPr>
                <w:b/>
                <w:color w:val="339CBA"/>
              </w:rPr>
            </w:pPr>
            <w:r w:rsidRPr="00833C32">
              <w:rPr>
                <w:b/>
                <w:color w:val="339CBA"/>
              </w:rPr>
              <w:t>Generally include:</w:t>
            </w:r>
          </w:p>
        </w:tc>
        <w:tc>
          <w:tcPr>
            <w:tcW w:w="5245" w:type="dxa"/>
            <w:shd w:val="clear" w:color="auto" w:fill="auto"/>
          </w:tcPr>
          <w:p w:rsidR="008874A1" w:rsidRPr="005C5EEA" w:rsidRDefault="008874A1" w:rsidP="00A90978">
            <w:pPr>
              <w:jc w:val="center"/>
              <w:rPr>
                <w:rFonts w:eastAsia="Calibri" w:cs="Arial"/>
              </w:rPr>
            </w:pPr>
            <w:r w:rsidRPr="005C5EEA">
              <w:t>Document fees</w:t>
            </w:r>
          </w:p>
        </w:tc>
        <w:tc>
          <w:tcPr>
            <w:tcW w:w="6237" w:type="dxa"/>
            <w:shd w:val="clear" w:color="auto" w:fill="auto"/>
          </w:tcPr>
          <w:p w:rsidR="008874A1" w:rsidRPr="005C5EEA" w:rsidRDefault="008874A1" w:rsidP="00A90978">
            <w:pPr>
              <w:jc w:val="center"/>
              <w:rPr>
                <w:rFonts w:eastAsia="Calibri" w:cs="Arial"/>
              </w:rPr>
            </w:pPr>
            <w:r w:rsidRPr="005C5EEA">
              <w:t>Document fees</w:t>
            </w:r>
          </w:p>
        </w:tc>
      </w:tr>
    </w:tbl>
    <w:p w:rsidR="00151970" w:rsidRDefault="00151970" w:rsidP="008874A1"/>
    <w:sectPr w:rsidR="00151970" w:rsidSect="00AC4456">
      <w:headerReference w:type="default" r:id="rId8"/>
      <w:footerReference w:type="default" r:id="rId9"/>
      <w:pgSz w:w="16820" w:h="11900" w:orient="landscape"/>
      <w:pgMar w:top="810" w:right="1440" w:bottom="180" w:left="1440" w:header="0" w:footer="4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01" w:rsidRDefault="00543601" w:rsidP="00625482">
      <w:pPr>
        <w:spacing w:after="0" w:line="240" w:lineRule="auto"/>
      </w:pPr>
      <w:r>
        <w:separator/>
      </w:r>
    </w:p>
  </w:endnote>
  <w:endnote w:type="continuationSeparator" w:id="0">
    <w:p w:rsidR="00543601" w:rsidRDefault="00543601" w:rsidP="0062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AGRounded Lt">
    <w:altName w:val="Calibri"/>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Grande">
    <w:panose1 w:val="00000000000000000000"/>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NeueLT Std Med C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56" w:rsidRDefault="00AC4456">
    <w:pPr>
      <w:pStyle w:val="Footer"/>
    </w:pPr>
    <w:r>
      <w:rPr>
        <w:noProof/>
        <w:lang w:val="en-US"/>
      </w:rPr>
      <mc:AlternateContent>
        <mc:Choice Requires="wps">
          <w:drawing>
            <wp:anchor distT="0" distB="0" distL="114300" distR="114300" simplePos="0" relativeHeight="251661312" behindDoc="0" locked="0" layoutInCell="1" allowOverlap="1" wp14:anchorId="208E858C" wp14:editId="16A60209">
              <wp:simplePos x="0" y="0"/>
              <wp:positionH relativeFrom="column">
                <wp:posOffset>-925195</wp:posOffset>
              </wp:positionH>
              <wp:positionV relativeFrom="paragraph">
                <wp:posOffset>327660</wp:posOffset>
              </wp:positionV>
              <wp:extent cx="11016343" cy="187071"/>
              <wp:effectExtent l="0" t="0" r="0" b="3810"/>
              <wp:wrapNone/>
              <wp:docPr id="27" name="Rectangle 27"/>
              <wp:cNvGraphicFramePr/>
              <a:graphic xmlns:a="http://schemas.openxmlformats.org/drawingml/2006/main">
                <a:graphicData uri="http://schemas.microsoft.com/office/word/2010/wordprocessingShape">
                  <wps:wsp>
                    <wps:cNvSpPr/>
                    <wps:spPr>
                      <a:xfrm>
                        <a:off x="0" y="0"/>
                        <a:ext cx="11016343" cy="187071"/>
                      </a:xfrm>
                      <a:prstGeom prst="rect">
                        <a:avLst/>
                      </a:prstGeom>
                      <a:solidFill>
                        <a:srgbClr val="383D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72.85pt;margin-top:25.8pt;width:867.4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" fillcolor="#383d37"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01" w:rsidRDefault="00543601" w:rsidP="00625482">
      <w:pPr>
        <w:spacing w:after="0" w:line="240" w:lineRule="auto"/>
      </w:pPr>
      <w:r>
        <w:separator/>
      </w:r>
    </w:p>
  </w:footnote>
  <w:footnote w:type="continuationSeparator" w:id="0">
    <w:p w:rsidR="00543601" w:rsidRDefault="00543601" w:rsidP="00625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82" w:rsidRDefault="00625482" w:rsidP="00625482">
    <w:pPr>
      <w:pStyle w:val="Header"/>
      <w:ind w:left="-1440"/>
    </w:pPr>
    <w:r>
      <w:rPr>
        <w:noProof/>
        <w:lang w:val="en-US"/>
      </w:rPr>
      <mc:AlternateContent>
        <mc:Choice Requires="wps">
          <w:drawing>
            <wp:anchor distT="0" distB="0" distL="114300" distR="114300" simplePos="0" relativeHeight="251659264" behindDoc="0" locked="0" layoutInCell="1" allowOverlap="1" wp14:anchorId="1DF6C5E4" wp14:editId="1F128017">
              <wp:simplePos x="0" y="0"/>
              <wp:positionH relativeFrom="column">
                <wp:posOffset>-685638</wp:posOffset>
              </wp:positionH>
              <wp:positionV relativeFrom="paragraph">
                <wp:posOffset>266700</wp:posOffset>
              </wp:positionV>
              <wp:extent cx="4651375"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381000"/>
                      </a:xfrm>
                      <a:prstGeom prst="rect">
                        <a:avLst/>
                      </a:prstGeom>
                      <a:solidFill>
                        <a:srgbClr val="FFFFFF">
                          <a:alpha val="0"/>
                        </a:srgbClr>
                      </a:solidFill>
                      <a:ln w="9525">
                        <a:noFill/>
                        <a:miter lim="800000"/>
                        <a:headEnd/>
                        <a:tailEnd/>
                      </a:ln>
                    </wps:spPr>
                    <wps:txbx>
                      <w:txbxContent>
                        <w:p w:rsidR="00625482" w:rsidRPr="00E76438" w:rsidRDefault="002D71BC" w:rsidP="00625482">
                          <w:pPr>
                            <w:rPr>
                              <w:rFonts w:ascii="HelveticaNeueLT Std Med Cn" w:hAnsi="HelveticaNeueLT Std Med Cn"/>
                              <w:color w:val="FFFFFF" w:themeColor="background1"/>
                              <w:sz w:val="32"/>
                              <w:szCs w:val="32"/>
                            </w:rPr>
                          </w:pPr>
                          <w:r>
                            <w:rPr>
                              <w:rFonts w:ascii="HelveticaNeueLT Std Med Cn" w:hAnsi="HelveticaNeueLT Std Med Cn"/>
                              <w:color w:val="FFFFFF" w:themeColor="background1"/>
                              <w:sz w:val="32"/>
                              <w:szCs w:val="32"/>
                            </w:rPr>
                            <w:t xml:space="preserve">Common Debt Products </w:t>
                          </w:r>
                          <w:r w:rsidRPr="002D71BC">
                            <w:rPr>
                              <w:rFonts w:ascii="HelveticaNeueLT Std Med Cn" w:hAnsi="HelveticaNeueLT Std Med Cn"/>
                              <w:color w:val="FFFFFF" w:themeColor="background1"/>
                              <w:sz w:val="32"/>
                              <w:szCs w:val="32"/>
                            </w:rPr>
                            <w:t>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21pt;width:366.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" stroked="f">
              <v:fill opacity="0"/>
              <v:textbox>
                <w:txbxContent>
                  <w:p w:rsidR="00625482" w:rsidRPr="00E76438" w:rsidRDefault="002D71BC" w:rsidP="00625482">
                    <w:pPr>
                      <w:rPr>
                        <w:rFonts w:ascii="HelveticaNeueLT Std Med Cn" w:hAnsi="HelveticaNeueLT Std Med Cn"/>
                        <w:color w:val="FFFFFF" w:themeColor="background1"/>
                        <w:sz w:val="32"/>
                        <w:szCs w:val="32"/>
                      </w:rPr>
                    </w:pPr>
                    <w:r>
                      <w:rPr>
                        <w:rFonts w:ascii="HelveticaNeueLT Std Med Cn" w:hAnsi="HelveticaNeueLT Std Med Cn"/>
                        <w:color w:val="FFFFFF" w:themeColor="background1"/>
                        <w:sz w:val="32"/>
                        <w:szCs w:val="32"/>
                      </w:rPr>
                      <w:t xml:space="preserve">Common Debt Products </w:t>
                    </w:r>
                    <w:r w:rsidRPr="002D71BC">
                      <w:rPr>
                        <w:rFonts w:ascii="HelveticaNeueLT Std Med Cn" w:hAnsi="HelveticaNeueLT Std Med Cn"/>
                        <w:color w:val="FFFFFF" w:themeColor="background1"/>
                        <w:sz w:val="32"/>
                        <w:szCs w:val="32"/>
                      </w:rPr>
                      <w:t>Overview</w:t>
                    </w:r>
                  </w:p>
                </w:txbxContent>
              </v:textbox>
            </v:shape>
          </w:pict>
        </mc:Fallback>
      </mc:AlternateContent>
    </w:r>
    <w:r>
      <w:rPr>
        <w:noProof/>
        <w:lang w:val="en-US"/>
      </w:rPr>
      <w:drawing>
        <wp:inline distT="0" distB="0" distL="0" distR="0" wp14:anchorId="23C8B80A" wp14:editId="66492E9F">
          <wp:extent cx="10918371" cy="695448"/>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8371" cy="695448"/>
                  </a:xfrm>
                  <a:prstGeom prst="rect">
                    <a:avLst/>
                  </a:prstGeom>
                  <a:noFill/>
                  <a:ln>
                    <a:noFill/>
                  </a:ln>
                </pic:spPr>
              </pic:pic>
            </a:graphicData>
          </a:graphic>
        </wp:inline>
      </w:drawing>
    </w:r>
  </w:p>
  <w:p w:rsidR="00625482" w:rsidRDefault="00625482" w:rsidP="00625482">
    <w:pPr>
      <w:pStyle w:val="Header"/>
    </w:pPr>
  </w:p>
  <w:p w:rsidR="00625482" w:rsidRDefault="00625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352"/>
    <w:multiLevelType w:val="hybridMultilevel"/>
    <w:tmpl w:val="27B82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A1"/>
    <w:rsid w:val="00032FEE"/>
    <w:rsid w:val="00151970"/>
    <w:rsid w:val="0016361B"/>
    <w:rsid w:val="001A236D"/>
    <w:rsid w:val="00242866"/>
    <w:rsid w:val="002D71BC"/>
    <w:rsid w:val="00354759"/>
    <w:rsid w:val="0052285A"/>
    <w:rsid w:val="00543601"/>
    <w:rsid w:val="005C6717"/>
    <w:rsid w:val="00625482"/>
    <w:rsid w:val="00686D80"/>
    <w:rsid w:val="007E1A2F"/>
    <w:rsid w:val="00833C32"/>
    <w:rsid w:val="008874A1"/>
    <w:rsid w:val="00A264FA"/>
    <w:rsid w:val="00A3083B"/>
    <w:rsid w:val="00A90978"/>
    <w:rsid w:val="00AC4456"/>
    <w:rsid w:val="00AF046F"/>
    <w:rsid w:val="00D35129"/>
    <w:rsid w:val="00DE4F19"/>
    <w:rsid w:val="00E2302B"/>
    <w:rsid w:val="00F12E83"/>
    <w:rsid w:val="00FF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A1"/>
    <w:pPr>
      <w:spacing w:after="200" w:line="276" w:lineRule="auto"/>
    </w:pPr>
    <w:rPr>
      <w:rFonts w:ascii="Arial" w:eastAsiaTheme="minorHAnsi" w:hAnsi="Arial"/>
      <w:sz w:val="22"/>
      <w:szCs w:val="22"/>
      <w:lang w:val="en-AU" w:eastAsia="en-US"/>
    </w:rPr>
  </w:style>
  <w:style w:type="paragraph" w:styleId="Heading1">
    <w:name w:val="heading 1"/>
    <w:basedOn w:val="Normal"/>
    <w:next w:val="Normal"/>
    <w:link w:val="Heading1Char"/>
    <w:uiPriority w:val="9"/>
    <w:qFormat/>
    <w:rsid w:val="00686D80"/>
    <w:pPr>
      <w:keepNext/>
      <w:keepLines/>
      <w:spacing w:before="480"/>
      <w:outlineLvl w:val="0"/>
    </w:pPr>
    <w:rPr>
      <w:rFonts w:eastAsia="Times New Roman"/>
      <w:b/>
      <w:bCs/>
      <w:color w:val="BED730"/>
      <w:sz w:val="28"/>
      <w:szCs w:val="28"/>
    </w:rPr>
  </w:style>
  <w:style w:type="paragraph" w:styleId="Heading2">
    <w:name w:val="heading 2"/>
    <w:basedOn w:val="Normal"/>
    <w:next w:val="Normal"/>
    <w:link w:val="Heading2Char"/>
    <w:uiPriority w:val="9"/>
    <w:unhideWhenUsed/>
    <w:qFormat/>
    <w:rsid w:val="00686D80"/>
    <w:pPr>
      <w:keepNext/>
      <w:keepLines/>
      <w:spacing w:before="200" w:after="120"/>
      <w:outlineLvl w:val="1"/>
    </w:pPr>
    <w:rPr>
      <w:rFonts w:eastAsia="Times New Roman"/>
      <w:bCs/>
      <w:color w:val="0399CD"/>
      <w:szCs w:val="26"/>
    </w:rPr>
  </w:style>
  <w:style w:type="paragraph" w:styleId="Heading3">
    <w:name w:val="heading 3"/>
    <w:basedOn w:val="Normal"/>
    <w:next w:val="Normal"/>
    <w:link w:val="Heading3Char"/>
    <w:uiPriority w:val="9"/>
    <w:unhideWhenUsed/>
    <w:qFormat/>
    <w:rsid w:val="00686D80"/>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80"/>
    <w:rPr>
      <w:rFonts w:ascii="Arial" w:eastAsia="Times New Roman" w:hAnsi="Arial" w:cs="Times New Roman"/>
      <w:b/>
      <w:bCs/>
      <w:color w:val="BED730"/>
      <w:sz w:val="28"/>
      <w:szCs w:val="28"/>
      <w:lang w:val="en-AU"/>
    </w:rPr>
  </w:style>
  <w:style w:type="character" w:customStyle="1" w:styleId="Heading2Char">
    <w:name w:val="Heading 2 Char"/>
    <w:basedOn w:val="DefaultParagraphFont"/>
    <w:link w:val="Heading2"/>
    <w:uiPriority w:val="9"/>
    <w:rsid w:val="00686D80"/>
    <w:rPr>
      <w:rFonts w:ascii="Arial" w:eastAsia="Times New Roman" w:hAnsi="Arial" w:cs="Times New Roman"/>
      <w:bCs/>
      <w:color w:val="0399CD"/>
      <w:szCs w:val="26"/>
      <w:lang w:val="en-AU"/>
    </w:rPr>
  </w:style>
  <w:style w:type="character" w:customStyle="1" w:styleId="Heading3Char">
    <w:name w:val="Heading 3 Char"/>
    <w:basedOn w:val="DefaultParagraphFont"/>
    <w:link w:val="Heading3"/>
    <w:uiPriority w:val="9"/>
    <w:rsid w:val="00686D80"/>
    <w:rPr>
      <w:rFonts w:ascii="Arial" w:eastAsiaTheme="majorEastAsia" w:hAnsi="Arial" w:cstheme="majorBidi"/>
      <w:b/>
      <w:bCs/>
      <w:color w:val="595959" w:themeColor="text1" w:themeTint="A6"/>
      <w:sz w:val="22"/>
      <w:szCs w:val="22"/>
      <w:lang w:val="en-AU"/>
    </w:rPr>
  </w:style>
  <w:style w:type="character" w:styleId="SubtleEmphasis">
    <w:name w:val="Subtle Emphasis"/>
    <w:basedOn w:val="DefaultParagraphFont"/>
    <w:uiPriority w:val="19"/>
    <w:qFormat/>
    <w:rsid w:val="00686D80"/>
    <w:rPr>
      <w:i/>
      <w:iCs/>
      <w:color w:val="808080" w:themeColor="text1" w:themeTint="7F"/>
    </w:rPr>
  </w:style>
  <w:style w:type="paragraph" w:customStyle="1" w:styleId="StyleHeading1StoneInformalGreen">
    <w:name w:val="Style Heading 1 + StoneInformal Green"/>
    <w:basedOn w:val="Heading1"/>
    <w:rsid w:val="00686D80"/>
    <w:pPr>
      <w:keepLines w:val="0"/>
      <w:spacing w:before="240" w:after="60" w:line="240" w:lineRule="auto"/>
    </w:pPr>
    <w:rPr>
      <w:rFonts w:ascii="VAGRounded Lt" w:eastAsia="Batang" w:hAnsi="VAGRounded Lt"/>
      <w:kern w:val="32"/>
      <w:sz w:val="32"/>
      <w:szCs w:val="32"/>
      <w:lang w:val="en-US"/>
    </w:rPr>
  </w:style>
  <w:style w:type="paragraph" w:customStyle="1" w:styleId="StyleHeading1VAGRoundedLtGreen">
    <w:name w:val="Style Heading 1 + VAGRounded Lt Green"/>
    <w:basedOn w:val="Heading1"/>
    <w:rsid w:val="00686D80"/>
    <w:pPr>
      <w:keepLines w:val="0"/>
      <w:spacing w:before="240" w:after="60" w:line="240" w:lineRule="auto"/>
    </w:pPr>
    <w:rPr>
      <w:rFonts w:ascii="VAGRounded Lt" w:hAnsi="VAGRounded Lt"/>
      <w:kern w:val="32"/>
      <w:sz w:val="32"/>
      <w:szCs w:val="32"/>
      <w:lang w:val="en-US"/>
    </w:rPr>
  </w:style>
  <w:style w:type="paragraph" w:customStyle="1" w:styleId="StyleHeading2VAGRoundedLtGreen">
    <w:name w:val="Style Heading 2 + VAGRounded Lt Green"/>
    <w:basedOn w:val="Heading2"/>
    <w:rsid w:val="00686D80"/>
    <w:pPr>
      <w:keepLines w:val="0"/>
      <w:spacing w:before="240" w:after="60" w:line="240" w:lineRule="auto"/>
    </w:pPr>
    <w:rPr>
      <w:rFonts w:ascii="VAGRounded Lt" w:hAnsi="VAGRounded Lt"/>
      <w:b/>
      <w:i/>
      <w:iCs/>
      <w:color w:val="BED730"/>
      <w:sz w:val="28"/>
      <w:szCs w:val="28"/>
      <w:lang w:val="en-US"/>
    </w:rPr>
  </w:style>
  <w:style w:type="paragraph" w:styleId="BalloonText">
    <w:name w:val="Balloon Text"/>
    <w:basedOn w:val="Normal"/>
    <w:link w:val="BalloonTextChar"/>
    <w:uiPriority w:val="99"/>
    <w:semiHidden/>
    <w:unhideWhenUsed/>
    <w:rsid w:val="003547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759"/>
    <w:rPr>
      <w:rFonts w:ascii="Lucida Grande" w:eastAsia="Calibri" w:hAnsi="Lucida Grande" w:cs="Lucida Grande"/>
      <w:color w:val="595959"/>
      <w:sz w:val="18"/>
      <w:szCs w:val="18"/>
      <w:lang w:val="en-AU"/>
    </w:rPr>
  </w:style>
  <w:style w:type="table" w:styleId="TableGrid">
    <w:name w:val="Table Grid"/>
    <w:basedOn w:val="TableNormal"/>
    <w:uiPriority w:val="59"/>
    <w:rsid w:val="008874A1"/>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20" w:color="auto" w:fill="auto"/>
    </w:tcPr>
  </w:style>
  <w:style w:type="paragraph" w:styleId="ListParagraph">
    <w:name w:val="List Paragraph"/>
    <w:basedOn w:val="Normal"/>
    <w:uiPriority w:val="34"/>
    <w:qFormat/>
    <w:rsid w:val="008874A1"/>
    <w:pPr>
      <w:spacing w:after="0" w:line="240" w:lineRule="auto"/>
      <w:ind w:left="720"/>
    </w:pPr>
    <w:rPr>
      <w:rFonts w:ascii="Calibri" w:hAnsi="Calibri" w:cs="Times New Roman"/>
      <w:lang w:eastAsia="en-AU"/>
    </w:rPr>
  </w:style>
  <w:style w:type="paragraph" w:customStyle="1" w:styleId="SBWSCopy">
    <w:name w:val="SBWS Copy"/>
    <w:basedOn w:val="Normal"/>
    <w:link w:val="SBWSCopyChar"/>
    <w:rsid w:val="008874A1"/>
    <w:pPr>
      <w:spacing w:after="240" w:line="240" w:lineRule="auto"/>
      <w:jc w:val="both"/>
    </w:pPr>
    <w:rPr>
      <w:rFonts w:eastAsia="Calibri" w:cs="Arial"/>
      <w:szCs w:val="20"/>
    </w:rPr>
  </w:style>
  <w:style w:type="character" w:customStyle="1" w:styleId="SBWSCopyChar">
    <w:name w:val="SBWS Copy Char"/>
    <w:link w:val="SBWSCopy"/>
    <w:rsid w:val="008874A1"/>
    <w:rPr>
      <w:rFonts w:ascii="Arial" w:eastAsia="Calibri" w:hAnsi="Arial" w:cs="Arial"/>
      <w:sz w:val="22"/>
      <w:szCs w:val="20"/>
      <w:lang w:val="en-AU" w:eastAsia="en-US"/>
    </w:rPr>
  </w:style>
  <w:style w:type="paragraph" w:styleId="Header">
    <w:name w:val="header"/>
    <w:basedOn w:val="Normal"/>
    <w:link w:val="HeaderChar"/>
    <w:uiPriority w:val="99"/>
    <w:unhideWhenUsed/>
    <w:rsid w:val="00625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82"/>
    <w:rPr>
      <w:rFonts w:ascii="Arial" w:eastAsiaTheme="minorHAnsi" w:hAnsi="Arial"/>
      <w:sz w:val="22"/>
      <w:szCs w:val="22"/>
      <w:lang w:val="en-AU" w:eastAsia="en-US"/>
    </w:rPr>
  </w:style>
  <w:style w:type="paragraph" w:styleId="Footer">
    <w:name w:val="footer"/>
    <w:basedOn w:val="Normal"/>
    <w:link w:val="FooterChar"/>
    <w:uiPriority w:val="99"/>
    <w:unhideWhenUsed/>
    <w:rsid w:val="00625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82"/>
    <w:rPr>
      <w:rFonts w:ascii="Arial" w:eastAsiaTheme="minorHAnsi" w:hAnsi="Arial"/>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A1"/>
    <w:pPr>
      <w:spacing w:after="200" w:line="276" w:lineRule="auto"/>
    </w:pPr>
    <w:rPr>
      <w:rFonts w:ascii="Arial" w:eastAsiaTheme="minorHAnsi" w:hAnsi="Arial"/>
      <w:sz w:val="22"/>
      <w:szCs w:val="22"/>
      <w:lang w:val="en-AU" w:eastAsia="en-US"/>
    </w:rPr>
  </w:style>
  <w:style w:type="paragraph" w:styleId="Heading1">
    <w:name w:val="heading 1"/>
    <w:basedOn w:val="Normal"/>
    <w:next w:val="Normal"/>
    <w:link w:val="Heading1Char"/>
    <w:uiPriority w:val="9"/>
    <w:qFormat/>
    <w:rsid w:val="00686D80"/>
    <w:pPr>
      <w:keepNext/>
      <w:keepLines/>
      <w:spacing w:before="480"/>
      <w:outlineLvl w:val="0"/>
    </w:pPr>
    <w:rPr>
      <w:rFonts w:eastAsia="Times New Roman"/>
      <w:b/>
      <w:bCs/>
      <w:color w:val="BED730"/>
      <w:sz w:val="28"/>
      <w:szCs w:val="28"/>
    </w:rPr>
  </w:style>
  <w:style w:type="paragraph" w:styleId="Heading2">
    <w:name w:val="heading 2"/>
    <w:basedOn w:val="Normal"/>
    <w:next w:val="Normal"/>
    <w:link w:val="Heading2Char"/>
    <w:uiPriority w:val="9"/>
    <w:unhideWhenUsed/>
    <w:qFormat/>
    <w:rsid w:val="00686D80"/>
    <w:pPr>
      <w:keepNext/>
      <w:keepLines/>
      <w:spacing w:before="200" w:after="120"/>
      <w:outlineLvl w:val="1"/>
    </w:pPr>
    <w:rPr>
      <w:rFonts w:eastAsia="Times New Roman"/>
      <w:bCs/>
      <w:color w:val="0399CD"/>
      <w:szCs w:val="26"/>
    </w:rPr>
  </w:style>
  <w:style w:type="paragraph" w:styleId="Heading3">
    <w:name w:val="heading 3"/>
    <w:basedOn w:val="Normal"/>
    <w:next w:val="Normal"/>
    <w:link w:val="Heading3Char"/>
    <w:uiPriority w:val="9"/>
    <w:unhideWhenUsed/>
    <w:qFormat/>
    <w:rsid w:val="00686D80"/>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80"/>
    <w:rPr>
      <w:rFonts w:ascii="Arial" w:eastAsia="Times New Roman" w:hAnsi="Arial" w:cs="Times New Roman"/>
      <w:b/>
      <w:bCs/>
      <w:color w:val="BED730"/>
      <w:sz w:val="28"/>
      <w:szCs w:val="28"/>
      <w:lang w:val="en-AU"/>
    </w:rPr>
  </w:style>
  <w:style w:type="character" w:customStyle="1" w:styleId="Heading2Char">
    <w:name w:val="Heading 2 Char"/>
    <w:basedOn w:val="DefaultParagraphFont"/>
    <w:link w:val="Heading2"/>
    <w:uiPriority w:val="9"/>
    <w:rsid w:val="00686D80"/>
    <w:rPr>
      <w:rFonts w:ascii="Arial" w:eastAsia="Times New Roman" w:hAnsi="Arial" w:cs="Times New Roman"/>
      <w:bCs/>
      <w:color w:val="0399CD"/>
      <w:szCs w:val="26"/>
      <w:lang w:val="en-AU"/>
    </w:rPr>
  </w:style>
  <w:style w:type="character" w:customStyle="1" w:styleId="Heading3Char">
    <w:name w:val="Heading 3 Char"/>
    <w:basedOn w:val="DefaultParagraphFont"/>
    <w:link w:val="Heading3"/>
    <w:uiPriority w:val="9"/>
    <w:rsid w:val="00686D80"/>
    <w:rPr>
      <w:rFonts w:ascii="Arial" w:eastAsiaTheme="majorEastAsia" w:hAnsi="Arial" w:cstheme="majorBidi"/>
      <w:b/>
      <w:bCs/>
      <w:color w:val="595959" w:themeColor="text1" w:themeTint="A6"/>
      <w:sz w:val="22"/>
      <w:szCs w:val="22"/>
      <w:lang w:val="en-AU"/>
    </w:rPr>
  </w:style>
  <w:style w:type="character" w:styleId="SubtleEmphasis">
    <w:name w:val="Subtle Emphasis"/>
    <w:basedOn w:val="DefaultParagraphFont"/>
    <w:uiPriority w:val="19"/>
    <w:qFormat/>
    <w:rsid w:val="00686D80"/>
    <w:rPr>
      <w:i/>
      <w:iCs/>
      <w:color w:val="808080" w:themeColor="text1" w:themeTint="7F"/>
    </w:rPr>
  </w:style>
  <w:style w:type="paragraph" w:customStyle="1" w:styleId="StyleHeading1StoneInformalGreen">
    <w:name w:val="Style Heading 1 + StoneInformal Green"/>
    <w:basedOn w:val="Heading1"/>
    <w:rsid w:val="00686D80"/>
    <w:pPr>
      <w:keepLines w:val="0"/>
      <w:spacing w:before="240" w:after="60" w:line="240" w:lineRule="auto"/>
    </w:pPr>
    <w:rPr>
      <w:rFonts w:ascii="VAGRounded Lt" w:eastAsia="Batang" w:hAnsi="VAGRounded Lt"/>
      <w:kern w:val="32"/>
      <w:sz w:val="32"/>
      <w:szCs w:val="32"/>
      <w:lang w:val="en-US"/>
    </w:rPr>
  </w:style>
  <w:style w:type="paragraph" w:customStyle="1" w:styleId="StyleHeading1VAGRoundedLtGreen">
    <w:name w:val="Style Heading 1 + VAGRounded Lt Green"/>
    <w:basedOn w:val="Heading1"/>
    <w:rsid w:val="00686D80"/>
    <w:pPr>
      <w:keepLines w:val="0"/>
      <w:spacing w:before="240" w:after="60" w:line="240" w:lineRule="auto"/>
    </w:pPr>
    <w:rPr>
      <w:rFonts w:ascii="VAGRounded Lt" w:hAnsi="VAGRounded Lt"/>
      <w:kern w:val="32"/>
      <w:sz w:val="32"/>
      <w:szCs w:val="32"/>
      <w:lang w:val="en-US"/>
    </w:rPr>
  </w:style>
  <w:style w:type="paragraph" w:customStyle="1" w:styleId="StyleHeading2VAGRoundedLtGreen">
    <w:name w:val="Style Heading 2 + VAGRounded Lt Green"/>
    <w:basedOn w:val="Heading2"/>
    <w:rsid w:val="00686D80"/>
    <w:pPr>
      <w:keepLines w:val="0"/>
      <w:spacing w:before="240" w:after="60" w:line="240" w:lineRule="auto"/>
    </w:pPr>
    <w:rPr>
      <w:rFonts w:ascii="VAGRounded Lt" w:hAnsi="VAGRounded Lt"/>
      <w:b/>
      <w:i/>
      <w:iCs/>
      <w:color w:val="BED730"/>
      <w:sz w:val="28"/>
      <w:szCs w:val="28"/>
      <w:lang w:val="en-US"/>
    </w:rPr>
  </w:style>
  <w:style w:type="paragraph" w:styleId="BalloonText">
    <w:name w:val="Balloon Text"/>
    <w:basedOn w:val="Normal"/>
    <w:link w:val="BalloonTextChar"/>
    <w:uiPriority w:val="99"/>
    <w:semiHidden/>
    <w:unhideWhenUsed/>
    <w:rsid w:val="003547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759"/>
    <w:rPr>
      <w:rFonts w:ascii="Lucida Grande" w:eastAsia="Calibri" w:hAnsi="Lucida Grande" w:cs="Lucida Grande"/>
      <w:color w:val="595959"/>
      <w:sz w:val="18"/>
      <w:szCs w:val="18"/>
      <w:lang w:val="en-AU"/>
    </w:rPr>
  </w:style>
  <w:style w:type="table" w:styleId="TableGrid">
    <w:name w:val="Table Grid"/>
    <w:basedOn w:val="TableNormal"/>
    <w:uiPriority w:val="59"/>
    <w:rsid w:val="008874A1"/>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20" w:color="auto" w:fill="auto"/>
    </w:tcPr>
  </w:style>
  <w:style w:type="paragraph" w:styleId="ListParagraph">
    <w:name w:val="List Paragraph"/>
    <w:basedOn w:val="Normal"/>
    <w:uiPriority w:val="34"/>
    <w:qFormat/>
    <w:rsid w:val="008874A1"/>
    <w:pPr>
      <w:spacing w:after="0" w:line="240" w:lineRule="auto"/>
      <w:ind w:left="720"/>
    </w:pPr>
    <w:rPr>
      <w:rFonts w:ascii="Calibri" w:hAnsi="Calibri" w:cs="Times New Roman"/>
      <w:lang w:eastAsia="en-AU"/>
    </w:rPr>
  </w:style>
  <w:style w:type="paragraph" w:customStyle="1" w:styleId="SBWSCopy">
    <w:name w:val="SBWS Copy"/>
    <w:basedOn w:val="Normal"/>
    <w:link w:val="SBWSCopyChar"/>
    <w:rsid w:val="008874A1"/>
    <w:pPr>
      <w:spacing w:after="240" w:line="240" w:lineRule="auto"/>
      <w:jc w:val="both"/>
    </w:pPr>
    <w:rPr>
      <w:rFonts w:eastAsia="Calibri" w:cs="Arial"/>
      <w:szCs w:val="20"/>
    </w:rPr>
  </w:style>
  <w:style w:type="character" w:customStyle="1" w:styleId="SBWSCopyChar">
    <w:name w:val="SBWS Copy Char"/>
    <w:link w:val="SBWSCopy"/>
    <w:rsid w:val="008874A1"/>
    <w:rPr>
      <w:rFonts w:ascii="Arial" w:eastAsia="Calibri" w:hAnsi="Arial" w:cs="Arial"/>
      <w:sz w:val="22"/>
      <w:szCs w:val="20"/>
      <w:lang w:val="en-AU" w:eastAsia="en-US"/>
    </w:rPr>
  </w:style>
  <w:style w:type="paragraph" w:styleId="Header">
    <w:name w:val="header"/>
    <w:basedOn w:val="Normal"/>
    <w:link w:val="HeaderChar"/>
    <w:uiPriority w:val="99"/>
    <w:unhideWhenUsed/>
    <w:rsid w:val="00625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82"/>
    <w:rPr>
      <w:rFonts w:ascii="Arial" w:eastAsiaTheme="minorHAnsi" w:hAnsi="Arial"/>
      <w:sz w:val="22"/>
      <w:szCs w:val="22"/>
      <w:lang w:val="en-AU" w:eastAsia="en-US"/>
    </w:rPr>
  </w:style>
  <w:style w:type="paragraph" w:styleId="Footer">
    <w:name w:val="footer"/>
    <w:basedOn w:val="Normal"/>
    <w:link w:val="FooterChar"/>
    <w:uiPriority w:val="99"/>
    <w:unhideWhenUsed/>
    <w:rsid w:val="00625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82"/>
    <w:rPr>
      <w:rFonts w:ascii="Arial" w:eastAsiaTheme="minorHAnsi" w:hAnsi="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Idette Warburton</dc:creator>
  <cp:keywords/>
  <dc:description/>
  <cp:lastModifiedBy>Harshad Ranade</cp:lastModifiedBy>
  <cp:revision>14</cp:revision>
  <dcterms:created xsi:type="dcterms:W3CDTF">2015-03-23T03:33:00Z</dcterms:created>
  <dcterms:modified xsi:type="dcterms:W3CDTF">2015-04-29T09:23:00Z</dcterms:modified>
</cp:coreProperties>
</file>